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150" w:afterAutospacing="0" w:line="580" w:lineRule="exact"/>
        <w:ind w:left="0" w:right="0"/>
        <w:jc w:val="center"/>
        <w:textAlignment w:val="auto"/>
        <w:rPr>
          <w:rFonts w:hint="eastAsia" w:ascii="方正小标宋_GBK" w:hAnsi="方正小标宋_GBK" w:eastAsia="方正小标宋_GBK" w:cs="方正小标宋_GBK"/>
          <w:b w:val="0"/>
          <w:bCs w:val="0"/>
          <w:color w:val="auto"/>
          <w:sz w:val="32"/>
          <w:szCs w:val="32"/>
          <w:lang w:eastAsia="zh-CN"/>
        </w:rPr>
      </w:pPr>
      <w:r>
        <w:rPr>
          <w:rFonts w:hint="eastAsia" w:ascii="方正小标宋_GBK" w:hAnsi="方正小标宋_GBK" w:eastAsia="方正小标宋_GBK" w:cs="方正小标宋_GBK"/>
          <w:b w:val="0"/>
          <w:bCs w:val="0"/>
          <w:color w:val="auto"/>
          <w:sz w:val="44"/>
          <w:szCs w:val="44"/>
          <w:lang w:val="en-US" w:eastAsia="zh-CN"/>
        </w:rPr>
        <w:t>关于《普宁市工程建设项目评标定标分离管理办法（暂行）》的解读</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一、起草背景</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根据中共普宁市委、普宁市人民政府办公室《关于印发〈普宁市优化提升营商环境行动方案〉（2023-2025）的通知》（普宁办电【2023】65号）精神，为促进我市工程建设项目招标投标的公开、公平、公正与择优，提高招标投标效率、效果和工程质量，推动招标投标评定分离定标方式落实，制订</w:t>
      </w:r>
      <w:r>
        <w:rPr>
          <w:rFonts w:hint="eastAsia" w:ascii="仿宋_GB2312" w:hAnsi="仿宋_GB2312" w:eastAsia="仿宋_GB2312" w:cs="仿宋_GB2312"/>
          <w:b w:val="0"/>
          <w:bCs w:val="0"/>
          <w:color w:val="auto"/>
          <w:sz w:val="32"/>
          <w:szCs w:val="32"/>
          <w:lang w:eastAsia="zh-CN"/>
        </w:rPr>
        <w:t>《普宁市工程建设项目评标</w:t>
      </w:r>
      <w:r>
        <w:rPr>
          <w:rFonts w:hint="eastAsia" w:ascii="仿宋_GB2312" w:hAnsi="仿宋_GB2312" w:eastAsia="仿宋_GB2312" w:cs="仿宋_GB2312"/>
          <w:b w:val="0"/>
          <w:bCs w:val="0"/>
          <w:color w:val="auto"/>
          <w:sz w:val="32"/>
          <w:szCs w:val="32"/>
        </w:rPr>
        <w:t>定标分离管理办法</w:t>
      </w:r>
      <w:r>
        <w:rPr>
          <w:rFonts w:hint="eastAsia" w:ascii="仿宋_GB2312" w:hAnsi="仿宋_GB2312" w:eastAsia="仿宋_GB2312" w:cs="仿宋_GB2312"/>
          <w:b w:val="0"/>
          <w:bCs w:val="0"/>
          <w:color w:val="auto"/>
          <w:sz w:val="32"/>
          <w:szCs w:val="32"/>
          <w:lang w:eastAsia="zh-CN"/>
        </w:rPr>
        <w:t>（暂行）》（下称《管理办法》</w:t>
      </w:r>
      <w:r>
        <w:rPr>
          <w:rFonts w:hint="eastAsia" w:ascii="仿宋_GB2312" w:hAnsi="仿宋_GB2312" w:eastAsia="仿宋_GB2312" w:cs="仿宋_GB2312"/>
          <w:b w:val="0"/>
          <w:bCs w:val="0"/>
          <w:color w:val="auto"/>
          <w:sz w:val="32"/>
          <w:szCs w:val="32"/>
        </w:rPr>
        <w:t>。</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3" w:firstLineChars="200"/>
        <w:jc w:val="both"/>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b/>
          <w:bCs/>
          <w:color w:val="auto"/>
          <w:sz w:val="32"/>
          <w:szCs w:val="32"/>
          <w:lang w:val="en-US" w:eastAsia="zh-CN"/>
        </w:rPr>
        <w:t>制定目的及法律依据</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val="en-US" w:eastAsia="zh-CN"/>
        </w:rPr>
        <w:t>为进一步规范招标投标主体和招标代理行为，优化评标组织方式，落实监管责任，提高招标投标效率、效果和工程质量，</w:t>
      </w:r>
      <w:r>
        <w:rPr>
          <w:rFonts w:hint="eastAsia" w:ascii="仿宋_GB2312" w:hAnsi="仿宋_GB2312" w:eastAsia="仿宋_GB2312" w:cs="仿宋_GB2312"/>
          <w:b w:val="0"/>
          <w:bCs w:val="0"/>
          <w:color w:val="auto"/>
          <w:sz w:val="32"/>
          <w:szCs w:val="32"/>
        </w:rPr>
        <w:t>根据《中华人民共和国招标投标法》</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《中华人民共和国招标投标法实施条例》</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《国家发展改革委等部门关于严格执行招标投标法规制度进一步规范招标投标主体行为的若干意见》（发改法规规〔2022〕1117号）</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kern w:val="0"/>
          <w:sz w:val="32"/>
          <w:szCs w:val="32"/>
          <w:lang w:eastAsia="zh-CN" w:bidi="ar"/>
        </w:rPr>
        <w:t>住房和城乡建设部关于进一步加强房屋建筑和市政基础设施工程招标投标监管的指导意见</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t>（</w:t>
      </w:r>
      <w:r>
        <w:rPr>
          <w:rFonts w:hint="eastAsia" w:ascii="仿宋_GB2312" w:hAnsi="仿宋_GB2312" w:eastAsia="仿宋_GB2312" w:cs="仿宋_GB2312"/>
          <w:b w:val="0"/>
          <w:bCs w:val="0"/>
          <w:color w:val="auto"/>
          <w:kern w:val="0"/>
          <w:sz w:val="32"/>
          <w:szCs w:val="32"/>
          <w:lang w:eastAsia="zh-CN" w:bidi="ar"/>
        </w:rPr>
        <w:t>建市规〔2019〕11号</w:t>
      </w:r>
      <w:r>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t>）</w:t>
      </w:r>
      <w:r>
        <w:rPr>
          <w:rFonts w:hint="eastAsia" w:ascii="仿宋_GB2312" w:hAnsi="仿宋_GB2312" w:eastAsia="仿宋_GB2312" w:cs="仿宋_GB2312"/>
          <w:b w:val="0"/>
          <w:bCs w:val="0"/>
          <w:color w:val="auto"/>
          <w:sz w:val="32"/>
          <w:szCs w:val="32"/>
          <w:lang w:val="en-US" w:eastAsia="zh-CN"/>
        </w:rPr>
        <w:t>和</w:t>
      </w:r>
      <w:r>
        <w:rPr>
          <w:rFonts w:hint="eastAsia" w:ascii="仿宋_GB2312" w:hAnsi="仿宋_GB2312" w:eastAsia="仿宋_GB2312" w:cs="仿宋_GB2312"/>
          <w:b w:val="0"/>
          <w:bCs w:val="0"/>
          <w:color w:val="auto"/>
          <w:sz w:val="32"/>
          <w:szCs w:val="32"/>
        </w:rPr>
        <w:t>《</w:t>
      </w:r>
      <w:r>
        <w:rPr>
          <w:rFonts w:hint="eastAsia" w:ascii="仿宋_GB2312" w:hAnsi="仿宋_GB2312" w:eastAsia="仿宋_GB2312" w:cs="仿宋_GB2312"/>
          <w:b w:val="0"/>
          <w:bCs w:val="0"/>
          <w:i w:val="0"/>
          <w:iCs w:val="0"/>
          <w:caps w:val="0"/>
          <w:color w:val="auto"/>
          <w:spacing w:val="0"/>
          <w:kern w:val="0"/>
          <w:sz w:val="32"/>
          <w:szCs w:val="32"/>
          <w:shd w:val="clear" w:fill="FFFFFF"/>
          <w:lang w:val="en-US" w:eastAsia="zh-CN" w:bidi="ar"/>
        </w:rPr>
        <w:t>广东省住房和城乡建设厅关于深化房屋建筑和市政基础设施工程领域招标投标改革的实施意见</w:t>
      </w:r>
      <w:r>
        <w:rPr>
          <w:rFonts w:hint="eastAsia" w:ascii="仿宋_GB2312" w:hAnsi="仿宋_GB2312" w:eastAsia="仿宋_GB2312" w:cs="仿宋_GB2312"/>
          <w:b w:val="0"/>
          <w:bCs w:val="0"/>
          <w:color w:val="auto"/>
          <w:sz w:val="32"/>
          <w:szCs w:val="32"/>
        </w:rPr>
        <w:t>》（粤</w:t>
      </w:r>
      <w:r>
        <w:rPr>
          <w:rFonts w:hint="eastAsia" w:ascii="仿宋_GB2312" w:hAnsi="仿宋_GB2312" w:eastAsia="仿宋_GB2312" w:cs="仿宋_GB2312"/>
          <w:b w:val="0"/>
          <w:bCs w:val="0"/>
          <w:color w:val="auto"/>
          <w:sz w:val="32"/>
          <w:szCs w:val="32"/>
          <w:lang w:val="en-US" w:eastAsia="zh-CN"/>
        </w:rPr>
        <w:t>建市</w:t>
      </w:r>
      <w:r>
        <w:rPr>
          <w:rFonts w:hint="eastAsia" w:ascii="仿宋_GB2312" w:hAnsi="仿宋_GB2312" w:eastAsia="仿宋_GB2312" w:cs="仿宋_GB2312"/>
          <w:b w:val="0"/>
          <w:bCs w:val="0"/>
          <w:color w:val="auto"/>
          <w:sz w:val="32"/>
          <w:szCs w:val="32"/>
        </w:rPr>
        <w:t>〔202</w:t>
      </w:r>
      <w:r>
        <w:rPr>
          <w:rFonts w:hint="eastAsia" w:ascii="仿宋_GB2312" w:hAnsi="仿宋_GB2312" w:eastAsia="仿宋_GB2312" w:cs="仿宋_GB2312"/>
          <w:b w:val="0"/>
          <w:bCs w:val="0"/>
          <w:color w:val="auto"/>
          <w:sz w:val="32"/>
          <w:szCs w:val="32"/>
          <w:lang w:val="en-US" w:eastAsia="zh-CN"/>
        </w:rPr>
        <w:t>0</w:t>
      </w:r>
      <w:r>
        <w:rPr>
          <w:rFonts w:hint="eastAsia" w:ascii="仿宋_GB2312" w:hAnsi="仿宋_GB2312" w:eastAsia="仿宋_GB2312" w:cs="仿宋_GB2312"/>
          <w:b w:val="0"/>
          <w:bCs w:val="0"/>
          <w:color w:val="auto"/>
          <w:sz w:val="32"/>
          <w:szCs w:val="32"/>
        </w:rPr>
        <w:t>〕11</w:t>
      </w:r>
      <w:r>
        <w:rPr>
          <w:rFonts w:hint="eastAsia" w:ascii="仿宋_GB2312" w:hAnsi="仿宋_GB2312" w:eastAsia="仿宋_GB2312" w:cs="仿宋_GB2312"/>
          <w:b w:val="0"/>
          <w:bCs w:val="0"/>
          <w:color w:val="auto"/>
          <w:sz w:val="32"/>
          <w:szCs w:val="32"/>
          <w:lang w:val="en-US" w:eastAsia="zh-CN"/>
        </w:rPr>
        <w:t>9</w:t>
      </w:r>
      <w:r>
        <w:rPr>
          <w:rFonts w:hint="eastAsia" w:ascii="仿宋_GB2312" w:hAnsi="仿宋_GB2312" w:eastAsia="仿宋_GB2312" w:cs="仿宋_GB2312"/>
          <w:b w:val="0"/>
          <w:bCs w:val="0"/>
          <w:color w:val="auto"/>
          <w:sz w:val="32"/>
          <w:szCs w:val="32"/>
        </w:rPr>
        <w:t>号）等</w:t>
      </w:r>
      <w:r>
        <w:rPr>
          <w:rFonts w:hint="eastAsia" w:ascii="仿宋_GB2312" w:hAnsi="仿宋_GB2312" w:eastAsia="仿宋_GB2312" w:cs="仿宋_GB2312"/>
          <w:b w:val="0"/>
          <w:bCs w:val="0"/>
          <w:color w:val="auto"/>
          <w:sz w:val="32"/>
          <w:szCs w:val="32"/>
          <w:lang w:eastAsia="zh-CN"/>
        </w:rPr>
        <w:t>，制订《管理办法》。</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left="0" w:leftChars="0" w:right="0" w:rightChars="0" w:firstLine="643" w:firstLineChars="200"/>
        <w:jc w:val="both"/>
        <w:textAlignment w:val="auto"/>
        <w:rPr>
          <w:rFonts w:hint="eastAsia" w:ascii="仿宋_GB2312" w:hAnsi="仿宋_GB2312" w:eastAsia="仿宋_GB2312" w:cs="仿宋_GB2312"/>
          <w:b/>
          <w:bCs/>
          <w:color w:val="auto"/>
          <w:sz w:val="32"/>
          <w:szCs w:val="32"/>
          <w:lang w:eastAsia="zh-CN"/>
        </w:rPr>
      </w:pPr>
      <w:r>
        <w:rPr>
          <w:rFonts w:hint="eastAsia" w:ascii="仿宋_GB2312" w:hAnsi="仿宋_GB2312" w:eastAsia="仿宋_GB2312" w:cs="仿宋_GB2312"/>
          <w:b/>
          <w:bCs/>
          <w:color w:val="auto"/>
          <w:sz w:val="32"/>
          <w:szCs w:val="32"/>
          <w:lang w:eastAsia="zh-CN"/>
        </w:rPr>
        <w:t>主要内容</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《管理办法》共六章，二十五条。</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lang w:eastAsia="zh-CN"/>
        </w:rPr>
        <w:t>总则（共三条）</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《管理办法》制定的目的意义，依据的法律法规、评标分离的内涵和适应范围；</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招标人责任（共五条）。对招标监督小组，评标委员会，定标委员会的组建作进一步明确，对招标人的责任作进一步规范。</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评标程序（共三条）。对评标过程、定标候选人的产生作进一步的规范，将报告制度作明确规定。</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定标中标程序（共九条）。对定标中标时间作明确，具体包括票决定标法、集体议事法、定标要素、中标候人确定、公示、中标人确定，合同签订以及过程中可能出现的异议、投诉等环节。</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default"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监督管理（共三条）。监督内容包括决策机制、回避机制、全过程“留痕”机制、评估机制以及行业主管部门及其工作人员在建设工程招标投标监督管理过程中不履行职责或不正确履行职责的追究。同时，明确招标人规避招标、违规招标应负的责任和处罚。</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0" w:afterAutospacing="0" w:line="580" w:lineRule="exact"/>
        <w:ind w:left="0" w:leftChars="0" w:right="0" w:rightChars="0" w:firstLine="640" w:firstLineChars="200"/>
        <w:jc w:val="both"/>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附则（共二条）。对《管理办法》实施时间和解释权作明确。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val="0"/>
        <w:snapToGrid w:val="0"/>
        <w:spacing w:before="0" w:beforeAutospacing="0" w:after="150" w:afterAutospacing="0" w:line="560" w:lineRule="exact"/>
        <w:ind w:right="0" w:firstLine="640" w:firstLineChars="200"/>
        <w:jc w:val="both"/>
        <w:textAlignment w:val="auto"/>
        <w:rPr>
          <w:rFonts w:hint="eastAsia" w:ascii="仿宋_GB2312" w:hAnsi="仿宋_GB2312" w:eastAsia="仿宋_GB2312" w:cs="仿宋_GB2312"/>
          <w:b w:val="0"/>
          <w:bCs w:val="0"/>
          <w:color w:val="auto"/>
          <w:sz w:val="32"/>
          <w:szCs w:val="32"/>
          <w:lang w:val="en-US" w:eastAsia="zh-CN"/>
        </w:rPr>
      </w:pPr>
      <w:bookmarkStart w:id="0" w:name="_GoBack"/>
      <w:bookmarkEnd w:id="0"/>
      <w:r>
        <w:rPr>
          <w:rFonts w:hint="eastAsia" w:ascii="仿宋_GB2312" w:hAnsi="仿宋_GB2312" w:eastAsia="仿宋_GB2312" w:cs="仿宋_GB2312"/>
          <w:b w:val="0"/>
          <w:bCs w:val="0"/>
          <w:color w:val="auto"/>
          <w:sz w:val="32"/>
          <w:szCs w:val="32"/>
          <w:lang w:val="en-US" w:eastAsia="zh-CN"/>
        </w:rPr>
        <w:t>明确本办法由各行政行业主管部门负责解释，本办法自发布之日起实施，有效期2年。</w:t>
      </w:r>
    </w:p>
    <w:sectPr>
      <w:footerReference r:id="rId5" w:type="default"/>
      <w:pgSz w:w="11906" w:h="16838"/>
      <w:pgMar w:top="1440" w:right="1689" w:bottom="1383" w:left="2129" w:header="708" w:footer="709" w:gutter="0"/>
      <w:cols w:space="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3B579B"/>
    <w:multiLevelType w:val="singleLevel"/>
    <w:tmpl w:val="D43B579B"/>
    <w:lvl w:ilvl="0" w:tentative="0">
      <w:start w:val="1"/>
      <w:numFmt w:val="chineseCounting"/>
      <w:suff w:val="nothing"/>
      <w:lvlText w:val="（%1）"/>
      <w:lvlJc w:val="left"/>
      <w:rPr>
        <w:rFonts w:hint="eastAsia"/>
      </w:rPr>
    </w:lvl>
  </w:abstractNum>
  <w:abstractNum w:abstractNumId="1">
    <w:nsid w:val="2F04501C"/>
    <w:multiLevelType w:val="singleLevel"/>
    <w:tmpl w:val="2F04501C"/>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2"/>
  </w:compat>
  <w:docVars>
    <w:docVar w:name="commondata" w:val="eyJoZGlkIjoiY2YyNzQ1ZTkyNGRiMWE5YWQ3OTgzMjBkZTBmMTdlNDQifQ=="/>
  </w:docVars>
  <w:rsids>
    <w:rsidRoot w:val="00D31D50"/>
    <w:rsid w:val="000222A7"/>
    <w:rsid w:val="00323B43"/>
    <w:rsid w:val="00332D58"/>
    <w:rsid w:val="003D37D8"/>
    <w:rsid w:val="00426133"/>
    <w:rsid w:val="004358AB"/>
    <w:rsid w:val="008B7726"/>
    <w:rsid w:val="00D31D50"/>
    <w:rsid w:val="054934F8"/>
    <w:rsid w:val="05DF68F7"/>
    <w:rsid w:val="0DB2735D"/>
    <w:rsid w:val="142302A1"/>
    <w:rsid w:val="159614D4"/>
    <w:rsid w:val="166B10C7"/>
    <w:rsid w:val="18C51642"/>
    <w:rsid w:val="1FC45101"/>
    <w:rsid w:val="23F15106"/>
    <w:rsid w:val="285A00AC"/>
    <w:rsid w:val="28E74C74"/>
    <w:rsid w:val="29B56205"/>
    <w:rsid w:val="2A4E075E"/>
    <w:rsid w:val="2AE8178F"/>
    <w:rsid w:val="2C5113C3"/>
    <w:rsid w:val="2DFB7CAD"/>
    <w:rsid w:val="2F361B62"/>
    <w:rsid w:val="324560FE"/>
    <w:rsid w:val="32AA278D"/>
    <w:rsid w:val="371576F3"/>
    <w:rsid w:val="37AC7709"/>
    <w:rsid w:val="3A6C21FD"/>
    <w:rsid w:val="3BDC1084"/>
    <w:rsid w:val="424F1B5B"/>
    <w:rsid w:val="45F014A7"/>
    <w:rsid w:val="4CAD4F5A"/>
    <w:rsid w:val="4D397B6C"/>
    <w:rsid w:val="4E203D5C"/>
    <w:rsid w:val="4FF94846"/>
    <w:rsid w:val="53CE6E24"/>
    <w:rsid w:val="53F047CD"/>
    <w:rsid w:val="64991FD4"/>
    <w:rsid w:val="657C33A6"/>
    <w:rsid w:val="6A3F5E88"/>
    <w:rsid w:val="6F4F11C0"/>
    <w:rsid w:val="6F9669AF"/>
    <w:rsid w:val="6FA72EA3"/>
    <w:rsid w:val="710C6365"/>
    <w:rsid w:val="751C00D4"/>
    <w:rsid w:val="78ED0DB4"/>
    <w:rsid w:val="7E271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2">
    <w:name w:val="heading 1"/>
    <w:basedOn w:val="1"/>
    <w:next w:val="1"/>
    <w:qFormat/>
    <w:uiPriority w:val="9"/>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8">
    <w:name w:val="Strong"/>
    <w:basedOn w:val="7"/>
    <w:qFormat/>
    <w:uiPriority w:val="22"/>
    <w:rPr>
      <w:b/>
    </w:rPr>
  </w:style>
  <w:style w:type="character" w:styleId="9">
    <w:name w:val="Hyperlink"/>
    <w:basedOn w:val="7"/>
    <w:unhideWhenUsed/>
    <w:qFormat/>
    <w:uiPriority w:val="99"/>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Administrator</cp:lastModifiedBy>
  <cp:lastPrinted>2023-08-11T08:48:00Z</cp:lastPrinted>
  <dcterms:modified xsi:type="dcterms:W3CDTF">2023-08-11T09:00:28Z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40B89F3443894BCABC9EFF6D76A0D0A6</vt:lpwstr>
  </property>
</Properties>
</file>