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p>
    <w:p>
      <w:pPr>
        <w:bidi w:val="0"/>
        <w:ind w:left="0" w:leftChars="0" w:firstLine="0" w:firstLineChars="0"/>
        <w:jc w:val="center"/>
        <w:outlineLvl w:val="0"/>
        <w:rPr>
          <w:rFonts w:hint="default" w:ascii="方正小标宋简体" w:hAnsi="方正小标宋简体" w:eastAsia="方正小标宋简体" w:cs="方正小标宋简体"/>
          <w:sz w:val="44"/>
          <w:szCs w:val="44"/>
          <w:lang w:val="en-US" w:eastAsia="zh-CN"/>
        </w:rPr>
      </w:pPr>
      <w:bookmarkStart w:id="0" w:name="_Toc19569"/>
      <w:bookmarkStart w:id="1" w:name="_Toc10842"/>
      <w:bookmarkStart w:id="2" w:name="_Toc9822"/>
      <w:bookmarkStart w:id="3" w:name="_Toc11208"/>
      <w:r>
        <w:rPr>
          <w:rFonts w:hint="eastAsia" w:ascii="方正小标宋简体" w:hAnsi="方正小标宋简体" w:eastAsia="方正小标宋简体" w:cs="方正小标宋简体"/>
          <w:sz w:val="44"/>
          <w:szCs w:val="44"/>
          <w:lang w:val="en-US" w:eastAsia="zh-CN"/>
        </w:rPr>
        <w:t>普宁流沙北华骏雅苑“3·22”一般</w:t>
      </w:r>
      <w:bookmarkEnd w:id="0"/>
      <w:bookmarkEnd w:id="1"/>
      <w:bookmarkEnd w:id="2"/>
      <w:bookmarkEnd w:id="3"/>
      <w:r>
        <w:rPr>
          <w:rFonts w:hint="eastAsia" w:ascii="方正小标宋简体" w:hAnsi="方正小标宋简体" w:eastAsia="方正小标宋简体" w:cs="方正小标宋简体"/>
          <w:sz w:val="44"/>
          <w:szCs w:val="44"/>
          <w:lang w:val="en-US" w:eastAsia="zh-CN"/>
        </w:rPr>
        <w:t xml:space="preserve">                                            </w:t>
      </w:r>
    </w:p>
    <w:p>
      <w:pPr>
        <w:bidi w:val="0"/>
        <w:ind w:left="0" w:leftChars="0" w:firstLine="0" w:firstLineChars="0"/>
        <w:jc w:val="center"/>
        <w:outlineLvl w:val="0"/>
        <w:rPr>
          <w:rFonts w:hint="eastAsia" w:ascii="方正小标宋简体" w:hAnsi="方正小标宋简体" w:eastAsia="方正小标宋简体" w:cs="方正小标宋简体"/>
          <w:sz w:val="44"/>
          <w:szCs w:val="44"/>
          <w:lang w:val="en-US" w:eastAsia="zh-CN"/>
        </w:rPr>
      </w:pPr>
      <w:bookmarkStart w:id="4" w:name="_Toc18993"/>
      <w:bookmarkStart w:id="5" w:name="_Toc21005"/>
      <w:bookmarkStart w:id="6" w:name="_Toc29992"/>
      <w:bookmarkStart w:id="7" w:name="_Toc4573"/>
      <w:r>
        <w:rPr>
          <w:rFonts w:hint="eastAsia" w:ascii="方正小标宋简体" w:hAnsi="方正小标宋简体" w:eastAsia="方正小标宋简体" w:cs="方正小标宋简体"/>
          <w:sz w:val="44"/>
          <w:szCs w:val="44"/>
          <w:lang w:val="en-US" w:eastAsia="zh-CN"/>
        </w:rPr>
        <w:t>物体打击事故调查报告</w:t>
      </w:r>
      <w:bookmarkEnd w:id="4"/>
      <w:bookmarkEnd w:id="5"/>
      <w:bookmarkEnd w:id="6"/>
      <w:bookmarkEnd w:id="7"/>
    </w:p>
    <w:p>
      <w:pPr>
        <w:jc w:val="center"/>
        <w:rPr>
          <w:rFonts w:hint="eastAsia" w:ascii="方正小标宋简体" w:hAnsi="方正小标宋简体" w:eastAsia="方正小标宋简体" w:cs="方正小标宋简体"/>
          <w:sz w:val="44"/>
          <w:szCs w:val="44"/>
          <w:lang w:val="en-US" w:eastAsia="zh-CN"/>
        </w:rPr>
      </w:pPr>
    </w:p>
    <w:p>
      <w:pPr>
        <w:pStyle w:val="2"/>
        <w:jc w:val="center"/>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bidi w:val="0"/>
        <w:ind w:left="0" w:leftChars="0" w:firstLine="0" w:firstLineChars="0"/>
        <w:jc w:val="center"/>
        <w:outlineLvl w:val="0"/>
        <w:rPr>
          <w:rFonts w:hint="eastAsia" w:ascii="方正小标宋简体" w:hAnsi="方正小标宋简体" w:eastAsia="方正小标宋简体" w:cs="方正小标宋简体"/>
          <w:lang w:val="en-US" w:eastAsia="zh-CN"/>
        </w:rPr>
      </w:pPr>
      <w:bookmarkStart w:id="8" w:name="_Toc8145"/>
      <w:bookmarkStart w:id="9" w:name="_Toc1007"/>
      <w:bookmarkStart w:id="10" w:name="_Toc22156"/>
      <w:bookmarkStart w:id="11" w:name="_Toc10370"/>
      <w:r>
        <w:rPr>
          <w:rFonts w:hint="eastAsia" w:ascii="方正小标宋简体" w:hAnsi="方正小标宋简体" w:eastAsia="方正小标宋简体" w:cs="方正小标宋简体"/>
          <w:lang w:val="en-US" w:eastAsia="zh-CN"/>
        </w:rPr>
        <w:t>普宁市人民政府事故调查组</w:t>
      </w:r>
      <w:bookmarkEnd w:id="8"/>
      <w:bookmarkEnd w:id="9"/>
      <w:bookmarkEnd w:id="10"/>
      <w:bookmarkEnd w:id="11"/>
    </w:p>
    <w:p>
      <w:pPr>
        <w:bidi w:val="0"/>
        <w:ind w:left="0" w:leftChars="0" w:firstLine="0" w:firstLineChars="0"/>
        <w:jc w:val="center"/>
        <w:outlineLvl w:val="0"/>
        <w:rPr>
          <w:rFonts w:hint="eastAsia" w:ascii="方正小标宋简体" w:hAnsi="方正小标宋简体" w:eastAsia="方正小标宋简体" w:cs="方正小标宋简体"/>
          <w:lang w:val="en-US" w:eastAsia="zh-CN"/>
        </w:rPr>
        <w:sectPr>
          <w:headerReference r:id="rId5" w:type="first"/>
          <w:footerReference r:id="rId6" w:type="first"/>
          <w:footnotePr>
            <w:numFmt w:val="decimal"/>
          </w:footnotePr>
          <w:pgSz w:w="11906" w:h="16838"/>
          <w:pgMar w:top="2098" w:right="1474" w:bottom="1984" w:left="1587" w:header="851" w:footer="992" w:gutter="0"/>
          <w:pgNumType w:fmt="numberInDash"/>
          <w:cols w:space="720" w:num="1"/>
          <w:docGrid w:type="lines" w:linePitch="312" w:charSpace="0"/>
        </w:sectPr>
      </w:pPr>
      <w:bookmarkStart w:id="12" w:name="_Toc12341"/>
      <w:bookmarkStart w:id="13" w:name="_Toc14676"/>
      <w:r>
        <w:rPr>
          <w:rFonts w:hint="eastAsia" w:ascii="方正小标宋简体" w:hAnsi="方正小标宋简体" w:eastAsia="方正小标宋简体" w:cs="方正小标宋简体"/>
          <w:lang w:val="en-US" w:eastAsia="zh-CN"/>
        </w:rPr>
        <w:t>2023年5月</w:t>
      </w:r>
      <w:bookmarkEnd w:id="12"/>
      <w:bookmarkEnd w:id="13"/>
    </w:p>
    <w:sdt>
      <w:sdtPr>
        <w:rPr>
          <w:rFonts w:hint="eastAsia" w:ascii="方正小标宋简体" w:hAnsi="方正小标宋简体" w:eastAsia="方正小标宋简体" w:cs="方正小标宋简体"/>
          <w:kern w:val="2"/>
          <w:sz w:val="44"/>
          <w:szCs w:val="44"/>
          <w:lang w:val="en-US" w:eastAsia="zh-CN" w:bidi="ar-SA"/>
        </w:rPr>
        <w:id w:val="147468409"/>
        <w15:color w:val="DBDBDB"/>
        <w:docPartObj>
          <w:docPartGallery w:val="Table of Contents"/>
          <w:docPartUnique/>
        </w:docPartObj>
      </w:sdtPr>
      <w:sdtEndPr>
        <w:rPr>
          <w:rFonts w:hint="eastAsia" w:ascii="方正小标宋简体" w:hAnsi="方正小标宋简体" w:eastAsia="方正小标宋简体" w:cs="方正小标宋简体"/>
          <w:b/>
          <w:kern w:val="2"/>
          <w:sz w:val="30"/>
          <w:szCs w:val="30"/>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TOC \o "1-2" \h \u </w:instrText>
          </w:r>
          <w:r>
            <w:rPr>
              <w:sz w:val="30"/>
              <w:szCs w:val="30"/>
            </w:rPr>
            <w:fldChar w:fldCharType="separate"/>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_Toc14446 </w:instrText>
          </w:r>
          <w:r>
            <w:rPr>
              <w:sz w:val="30"/>
              <w:szCs w:val="30"/>
            </w:rPr>
            <w:fldChar w:fldCharType="separate"/>
          </w:r>
          <w:r>
            <w:rPr>
              <w:rFonts w:hint="eastAsia" w:ascii="黑体" w:hAnsi="黑体" w:eastAsia="黑体" w:cs="黑体"/>
              <w:sz w:val="30"/>
              <w:szCs w:val="30"/>
              <w:lang w:val="en-US" w:eastAsia="zh-CN"/>
            </w:rPr>
            <w:t>一、事故基本情况</w:t>
          </w:r>
          <w:r>
            <w:rPr>
              <w:sz w:val="30"/>
              <w:szCs w:val="30"/>
            </w:rPr>
            <w:tab/>
          </w:r>
          <w:r>
            <w:rPr>
              <w:sz w:val="30"/>
              <w:szCs w:val="30"/>
            </w:rPr>
            <w:fldChar w:fldCharType="begin"/>
          </w:r>
          <w:r>
            <w:rPr>
              <w:sz w:val="30"/>
              <w:szCs w:val="30"/>
            </w:rPr>
            <w:instrText xml:space="preserve"> PAGEREF _Toc14446 \h </w:instrText>
          </w:r>
          <w:r>
            <w:rPr>
              <w:sz w:val="30"/>
              <w:szCs w:val="30"/>
            </w:rPr>
            <w:fldChar w:fldCharType="separate"/>
          </w:r>
          <w:r>
            <w:rPr>
              <w:sz w:val="30"/>
              <w:szCs w:val="30"/>
            </w:rPr>
            <w:t>- 1 -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_Toc29717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（一）事故现场情况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_Toc29717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- 1 -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_Toc18519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（二）工程项目情况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_Toc18519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- 2 -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_Toc26975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（三）相关单位情况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_Toc26975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- 2 -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_Toc21134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（四）项目合同书情况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_Toc21134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- 5 -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_Toc284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（五）相关单位落实安全措施情况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_Toc284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- 5 -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_Toc2640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（六）事故发生经过</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_Toc2640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- 6 -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_Toc30346 </w:instrText>
          </w:r>
          <w:r>
            <w:rPr>
              <w:sz w:val="30"/>
              <w:szCs w:val="30"/>
            </w:rPr>
            <w:fldChar w:fldCharType="separate"/>
          </w:r>
          <w:r>
            <w:rPr>
              <w:rFonts w:hint="eastAsia" w:ascii="黑体" w:hAnsi="黑体" w:eastAsia="黑体" w:cs="黑体"/>
              <w:sz w:val="30"/>
              <w:szCs w:val="30"/>
              <w:lang w:val="en-US" w:eastAsia="zh-CN"/>
            </w:rPr>
            <w:t>二、事故应急处置及评估情况</w:t>
          </w:r>
          <w:r>
            <w:rPr>
              <w:sz w:val="30"/>
              <w:szCs w:val="30"/>
            </w:rPr>
            <w:tab/>
          </w:r>
          <w:r>
            <w:rPr>
              <w:sz w:val="30"/>
              <w:szCs w:val="30"/>
            </w:rPr>
            <w:fldChar w:fldCharType="begin"/>
          </w:r>
          <w:r>
            <w:rPr>
              <w:sz w:val="30"/>
              <w:szCs w:val="30"/>
            </w:rPr>
            <w:instrText xml:space="preserve"> PAGEREF _Toc30346 \h </w:instrText>
          </w:r>
          <w:r>
            <w:rPr>
              <w:sz w:val="30"/>
              <w:szCs w:val="30"/>
            </w:rPr>
            <w:fldChar w:fldCharType="separate"/>
          </w:r>
          <w:r>
            <w:rPr>
              <w:sz w:val="30"/>
              <w:szCs w:val="30"/>
            </w:rPr>
            <w:t>- 7 -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_Toc1809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（一）应急救援情况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_Toc1809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- 7 -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_Toc20425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（二）事故信息接报及响应情况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_Toc20425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- 7 -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_Toc22758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（三）善后处理情况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_Toc22758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- 8 -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_Toc23859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（四）应急处置评估</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_Toc23859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- 8 -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HYPERLINK \l _Toc21773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lang w:val="en-US" w:eastAsia="zh-CN"/>
            </w:rPr>
            <w:t>（五）人员伤亡和直接经济损失情况</w:t>
          </w:r>
          <w:r>
            <w:rPr>
              <w:rFonts w:hint="eastAsia" w:ascii="楷体_GB2312" w:hAnsi="楷体_GB2312" w:eastAsia="楷体_GB2312" w:cs="楷体_GB2312"/>
              <w:sz w:val="30"/>
              <w:szCs w:val="30"/>
            </w:rPr>
            <w:tab/>
          </w:r>
          <w:r>
            <w:rPr>
              <w:rFonts w:hint="eastAsia" w:ascii="楷体_GB2312" w:hAnsi="楷体_GB2312" w:eastAsia="楷体_GB2312" w:cs="楷体_GB2312"/>
              <w:sz w:val="30"/>
              <w:szCs w:val="30"/>
            </w:rPr>
            <w:fldChar w:fldCharType="begin"/>
          </w:r>
          <w:r>
            <w:rPr>
              <w:rFonts w:hint="eastAsia" w:ascii="楷体_GB2312" w:hAnsi="楷体_GB2312" w:eastAsia="楷体_GB2312" w:cs="楷体_GB2312"/>
              <w:sz w:val="30"/>
              <w:szCs w:val="30"/>
            </w:rPr>
            <w:instrText xml:space="preserve"> PAGEREF _Toc21773 \h </w:instrText>
          </w:r>
          <w:r>
            <w:rPr>
              <w:rFonts w:hint="eastAsia" w:ascii="楷体_GB2312" w:hAnsi="楷体_GB2312" w:eastAsia="楷体_GB2312" w:cs="楷体_GB2312"/>
              <w:sz w:val="30"/>
              <w:szCs w:val="30"/>
            </w:rPr>
            <w:fldChar w:fldCharType="separate"/>
          </w:r>
          <w:r>
            <w:rPr>
              <w:rFonts w:hint="eastAsia" w:ascii="楷体_GB2312" w:hAnsi="楷体_GB2312" w:eastAsia="楷体_GB2312" w:cs="楷体_GB2312"/>
              <w:sz w:val="30"/>
              <w:szCs w:val="30"/>
            </w:rPr>
            <w:t>- 8 -</w:t>
          </w:r>
          <w:r>
            <w:rPr>
              <w:rFonts w:hint="eastAsia" w:ascii="楷体_GB2312" w:hAnsi="楷体_GB2312" w:eastAsia="楷体_GB2312" w:cs="楷体_GB2312"/>
              <w:sz w:val="30"/>
              <w:szCs w:val="30"/>
            </w:rPr>
            <w:fldChar w:fldCharType="end"/>
          </w:r>
          <w:r>
            <w:rPr>
              <w:rFonts w:hint="eastAsia" w:ascii="楷体_GB2312" w:hAnsi="楷体_GB2312" w:eastAsia="楷体_GB2312" w:cs="楷体_GB2312"/>
              <w:sz w:val="30"/>
              <w:szCs w:val="30"/>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_Toc29742 </w:instrText>
          </w:r>
          <w:r>
            <w:rPr>
              <w:sz w:val="30"/>
              <w:szCs w:val="30"/>
            </w:rPr>
            <w:fldChar w:fldCharType="separate"/>
          </w:r>
          <w:r>
            <w:rPr>
              <w:rFonts w:hint="eastAsia" w:ascii="黑体" w:hAnsi="黑体" w:eastAsia="黑体" w:cs="黑体"/>
              <w:sz w:val="30"/>
              <w:szCs w:val="30"/>
              <w:lang w:val="en-US" w:eastAsia="zh-CN"/>
            </w:rPr>
            <w:t>三、事故原因分析</w:t>
          </w:r>
          <w:r>
            <w:rPr>
              <w:sz w:val="30"/>
              <w:szCs w:val="30"/>
            </w:rPr>
            <w:tab/>
          </w:r>
          <w:r>
            <w:rPr>
              <w:sz w:val="30"/>
              <w:szCs w:val="30"/>
            </w:rPr>
            <w:fldChar w:fldCharType="begin"/>
          </w:r>
          <w:r>
            <w:rPr>
              <w:sz w:val="30"/>
              <w:szCs w:val="30"/>
            </w:rPr>
            <w:instrText xml:space="preserve"> PAGEREF _Toc29742 \h </w:instrText>
          </w:r>
          <w:r>
            <w:rPr>
              <w:sz w:val="30"/>
              <w:szCs w:val="30"/>
            </w:rPr>
            <w:fldChar w:fldCharType="separate"/>
          </w:r>
          <w:r>
            <w:rPr>
              <w:sz w:val="30"/>
              <w:szCs w:val="30"/>
            </w:rPr>
            <w:t>- 8 -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_Toc1008 </w:instrText>
          </w:r>
          <w:r>
            <w:rPr>
              <w:sz w:val="30"/>
              <w:szCs w:val="30"/>
            </w:rPr>
            <w:fldChar w:fldCharType="separate"/>
          </w:r>
          <w:r>
            <w:rPr>
              <w:rFonts w:hint="eastAsia" w:ascii="楷体_GB2312" w:hAnsi="楷体_GB2312" w:eastAsia="楷体_GB2312" w:cs="楷体_GB2312"/>
              <w:sz w:val="30"/>
              <w:szCs w:val="30"/>
            </w:rPr>
            <w:t>（一）直接原因</w:t>
          </w:r>
          <w:r>
            <w:rPr>
              <w:rFonts w:hint="eastAsia" w:ascii="楷体_GB2312" w:hAnsi="楷体_GB2312" w:eastAsia="楷体_GB2312" w:cs="楷体_GB2312"/>
              <w:sz w:val="30"/>
              <w:szCs w:val="30"/>
              <w:lang w:val="en-US" w:eastAsia="zh-CN"/>
            </w:rPr>
            <w:t>分析</w:t>
          </w:r>
          <w:r>
            <w:rPr>
              <w:sz w:val="30"/>
              <w:szCs w:val="30"/>
            </w:rPr>
            <w:tab/>
          </w:r>
          <w:r>
            <w:rPr>
              <w:sz w:val="30"/>
              <w:szCs w:val="30"/>
            </w:rPr>
            <w:fldChar w:fldCharType="begin"/>
          </w:r>
          <w:r>
            <w:rPr>
              <w:sz w:val="30"/>
              <w:szCs w:val="30"/>
            </w:rPr>
            <w:instrText xml:space="preserve"> PAGEREF _Toc1008 \h </w:instrText>
          </w:r>
          <w:r>
            <w:rPr>
              <w:sz w:val="30"/>
              <w:szCs w:val="30"/>
            </w:rPr>
            <w:fldChar w:fldCharType="separate"/>
          </w:r>
          <w:r>
            <w:rPr>
              <w:sz w:val="30"/>
              <w:szCs w:val="30"/>
            </w:rPr>
            <w:t>- 8 -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_Toc18861 </w:instrText>
          </w:r>
          <w:r>
            <w:rPr>
              <w:sz w:val="30"/>
              <w:szCs w:val="30"/>
            </w:rPr>
            <w:fldChar w:fldCharType="separate"/>
          </w:r>
          <w:r>
            <w:rPr>
              <w:rFonts w:hint="eastAsia" w:ascii="楷体_GB2312" w:hAnsi="楷体_GB2312" w:eastAsia="楷体_GB2312" w:cs="楷体_GB2312"/>
              <w:sz w:val="30"/>
              <w:szCs w:val="30"/>
            </w:rPr>
            <w:t>（二）间接原因</w:t>
          </w:r>
          <w:r>
            <w:rPr>
              <w:rFonts w:hint="eastAsia" w:ascii="楷体_GB2312" w:hAnsi="楷体_GB2312" w:eastAsia="楷体_GB2312" w:cs="楷体_GB2312"/>
              <w:sz w:val="30"/>
              <w:szCs w:val="30"/>
              <w:lang w:val="en-US" w:eastAsia="zh-CN"/>
            </w:rPr>
            <w:t>分析</w:t>
          </w:r>
          <w:r>
            <w:rPr>
              <w:sz w:val="30"/>
              <w:szCs w:val="30"/>
            </w:rPr>
            <w:tab/>
          </w:r>
          <w:r>
            <w:rPr>
              <w:sz w:val="30"/>
              <w:szCs w:val="30"/>
            </w:rPr>
            <w:fldChar w:fldCharType="begin"/>
          </w:r>
          <w:r>
            <w:rPr>
              <w:sz w:val="30"/>
              <w:szCs w:val="30"/>
            </w:rPr>
            <w:instrText xml:space="preserve"> PAGEREF _Toc18861 \h </w:instrText>
          </w:r>
          <w:r>
            <w:rPr>
              <w:sz w:val="30"/>
              <w:szCs w:val="30"/>
            </w:rPr>
            <w:fldChar w:fldCharType="separate"/>
          </w:r>
          <w:r>
            <w:rPr>
              <w:sz w:val="30"/>
              <w:szCs w:val="30"/>
            </w:rPr>
            <w:t>- 8 -</w:t>
          </w:r>
          <w:r>
            <w:rPr>
              <w:sz w:val="30"/>
              <w:szCs w:val="30"/>
            </w:rPr>
            <w:fldChar w:fldCharType="end"/>
          </w:r>
          <w:r>
            <w:rPr>
              <w:sz w:val="30"/>
              <w:szCs w:val="30"/>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_Toc9243 </w:instrText>
          </w:r>
          <w:r>
            <w:rPr>
              <w:sz w:val="30"/>
              <w:szCs w:val="30"/>
            </w:rPr>
            <w:fldChar w:fldCharType="separate"/>
          </w:r>
          <w:r>
            <w:rPr>
              <w:rFonts w:hint="eastAsia" w:ascii="黑体" w:hAnsi="黑体" w:eastAsia="黑体" w:cs="宋体"/>
              <w:bCs/>
              <w:sz w:val="30"/>
              <w:szCs w:val="30"/>
              <w:lang w:val="en-US" w:eastAsia="zh-CN"/>
            </w:rPr>
            <w:t>四、有关人员和单位存在的主要问题</w:t>
          </w:r>
          <w:r>
            <w:rPr>
              <w:sz w:val="30"/>
              <w:szCs w:val="30"/>
            </w:rPr>
            <w:tab/>
          </w:r>
          <w:r>
            <w:rPr>
              <w:sz w:val="30"/>
              <w:szCs w:val="30"/>
            </w:rPr>
            <w:fldChar w:fldCharType="begin"/>
          </w:r>
          <w:r>
            <w:rPr>
              <w:sz w:val="30"/>
              <w:szCs w:val="30"/>
            </w:rPr>
            <w:instrText xml:space="preserve"> PAGEREF _Toc9243 \h </w:instrText>
          </w:r>
          <w:r>
            <w:rPr>
              <w:sz w:val="30"/>
              <w:szCs w:val="30"/>
            </w:rPr>
            <w:fldChar w:fldCharType="separate"/>
          </w:r>
          <w:r>
            <w:rPr>
              <w:sz w:val="30"/>
              <w:szCs w:val="30"/>
            </w:rPr>
            <w:t>- 9 -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_Toc12749 </w:instrText>
          </w:r>
          <w:r>
            <w:rPr>
              <w:sz w:val="30"/>
              <w:szCs w:val="30"/>
            </w:rPr>
            <w:fldChar w:fldCharType="separate"/>
          </w:r>
          <w:r>
            <w:rPr>
              <w:rFonts w:hint="eastAsia" w:ascii="楷体_GB2312" w:hAnsi="楷体_GB2312" w:eastAsia="楷体_GB2312" w:cs="楷体_GB2312"/>
              <w:bCs w:val="0"/>
              <w:sz w:val="30"/>
              <w:szCs w:val="30"/>
              <w:lang w:val="en-US" w:eastAsia="zh-CN"/>
            </w:rPr>
            <w:t>（一）有关人员</w:t>
          </w:r>
          <w:r>
            <w:rPr>
              <w:sz w:val="30"/>
              <w:szCs w:val="30"/>
            </w:rPr>
            <w:tab/>
          </w:r>
          <w:r>
            <w:rPr>
              <w:sz w:val="30"/>
              <w:szCs w:val="30"/>
            </w:rPr>
            <w:fldChar w:fldCharType="begin"/>
          </w:r>
          <w:r>
            <w:rPr>
              <w:sz w:val="30"/>
              <w:szCs w:val="30"/>
            </w:rPr>
            <w:instrText xml:space="preserve"> PAGEREF _Toc12749 \h </w:instrText>
          </w:r>
          <w:r>
            <w:rPr>
              <w:sz w:val="30"/>
              <w:szCs w:val="30"/>
            </w:rPr>
            <w:fldChar w:fldCharType="separate"/>
          </w:r>
          <w:r>
            <w:rPr>
              <w:sz w:val="30"/>
              <w:szCs w:val="30"/>
            </w:rPr>
            <w:t>- 9 -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_Toc4601 </w:instrText>
          </w:r>
          <w:r>
            <w:rPr>
              <w:sz w:val="30"/>
              <w:szCs w:val="30"/>
            </w:rPr>
            <w:fldChar w:fldCharType="separate"/>
          </w:r>
          <w:r>
            <w:rPr>
              <w:rFonts w:hint="eastAsia" w:ascii="楷体_GB2312" w:hAnsi="楷体_GB2312" w:eastAsia="楷体_GB2312" w:cs="楷体_GB2312"/>
              <w:bCs w:val="0"/>
              <w:sz w:val="30"/>
              <w:szCs w:val="30"/>
              <w:lang w:val="en-US" w:eastAsia="zh-CN"/>
            </w:rPr>
            <w:t>（二）有关单位</w:t>
          </w:r>
          <w:r>
            <w:rPr>
              <w:sz w:val="30"/>
              <w:szCs w:val="30"/>
            </w:rPr>
            <w:tab/>
          </w:r>
          <w:r>
            <w:rPr>
              <w:sz w:val="30"/>
              <w:szCs w:val="30"/>
            </w:rPr>
            <w:fldChar w:fldCharType="begin"/>
          </w:r>
          <w:r>
            <w:rPr>
              <w:sz w:val="30"/>
              <w:szCs w:val="30"/>
            </w:rPr>
            <w:instrText xml:space="preserve"> PAGEREF _Toc4601 \h </w:instrText>
          </w:r>
          <w:r>
            <w:rPr>
              <w:sz w:val="30"/>
              <w:szCs w:val="30"/>
            </w:rPr>
            <w:fldChar w:fldCharType="separate"/>
          </w:r>
          <w:r>
            <w:rPr>
              <w:sz w:val="30"/>
              <w:szCs w:val="30"/>
            </w:rPr>
            <w:t>- 9 -</w:t>
          </w:r>
          <w:r>
            <w:rPr>
              <w:sz w:val="30"/>
              <w:szCs w:val="30"/>
            </w:rPr>
            <w:fldChar w:fldCharType="end"/>
          </w:r>
          <w:r>
            <w:rPr>
              <w:sz w:val="30"/>
              <w:szCs w:val="30"/>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_Toc29986 </w:instrText>
          </w:r>
          <w:r>
            <w:rPr>
              <w:sz w:val="30"/>
              <w:szCs w:val="30"/>
            </w:rPr>
            <w:fldChar w:fldCharType="separate"/>
          </w:r>
          <w:r>
            <w:rPr>
              <w:rFonts w:hint="eastAsia" w:ascii="黑体" w:hAnsi="黑体" w:eastAsia="黑体" w:cs="宋体"/>
              <w:bCs/>
              <w:sz w:val="30"/>
              <w:szCs w:val="30"/>
              <w:lang w:val="en-US" w:eastAsia="zh-CN"/>
            </w:rPr>
            <w:t>五、对有关人员和单位的处理建议</w:t>
          </w:r>
          <w:r>
            <w:rPr>
              <w:sz w:val="30"/>
              <w:szCs w:val="30"/>
            </w:rPr>
            <w:tab/>
          </w:r>
          <w:r>
            <w:rPr>
              <w:sz w:val="30"/>
              <w:szCs w:val="30"/>
            </w:rPr>
            <w:fldChar w:fldCharType="begin"/>
          </w:r>
          <w:r>
            <w:rPr>
              <w:sz w:val="30"/>
              <w:szCs w:val="30"/>
            </w:rPr>
            <w:instrText xml:space="preserve"> PAGEREF _Toc29986 \h </w:instrText>
          </w:r>
          <w:r>
            <w:rPr>
              <w:sz w:val="30"/>
              <w:szCs w:val="30"/>
            </w:rPr>
            <w:fldChar w:fldCharType="separate"/>
          </w:r>
          <w:r>
            <w:rPr>
              <w:sz w:val="30"/>
              <w:szCs w:val="30"/>
            </w:rPr>
            <w:t>- 10 -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_Toc8784 </w:instrText>
          </w:r>
          <w:r>
            <w:rPr>
              <w:sz w:val="30"/>
              <w:szCs w:val="30"/>
            </w:rPr>
            <w:fldChar w:fldCharType="separate"/>
          </w:r>
          <w:r>
            <w:rPr>
              <w:rFonts w:hint="eastAsia" w:ascii="楷体_GB2312" w:hAnsi="楷体_GB2312" w:eastAsia="楷体_GB2312" w:cs="楷体_GB2312"/>
              <w:bCs w:val="0"/>
              <w:sz w:val="30"/>
              <w:szCs w:val="30"/>
              <w:lang w:val="en-US" w:eastAsia="zh-CN"/>
            </w:rPr>
            <w:t>（一）建议免予追究责任的人员</w:t>
          </w:r>
          <w:r>
            <w:rPr>
              <w:sz w:val="30"/>
              <w:szCs w:val="30"/>
            </w:rPr>
            <w:tab/>
          </w:r>
          <w:r>
            <w:rPr>
              <w:sz w:val="30"/>
              <w:szCs w:val="30"/>
            </w:rPr>
            <w:fldChar w:fldCharType="begin"/>
          </w:r>
          <w:r>
            <w:rPr>
              <w:sz w:val="30"/>
              <w:szCs w:val="30"/>
            </w:rPr>
            <w:instrText xml:space="preserve"> PAGEREF _Toc8784 \h </w:instrText>
          </w:r>
          <w:r>
            <w:rPr>
              <w:sz w:val="30"/>
              <w:szCs w:val="30"/>
            </w:rPr>
            <w:fldChar w:fldCharType="separate"/>
          </w:r>
          <w:r>
            <w:rPr>
              <w:sz w:val="30"/>
              <w:szCs w:val="30"/>
            </w:rPr>
            <w:t>- 10 -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_Toc12728 </w:instrText>
          </w:r>
          <w:r>
            <w:rPr>
              <w:sz w:val="30"/>
              <w:szCs w:val="30"/>
            </w:rPr>
            <w:fldChar w:fldCharType="separate"/>
          </w:r>
          <w:r>
            <w:rPr>
              <w:rFonts w:hint="eastAsia" w:ascii="楷体_GB2312" w:hAnsi="楷体_GB2312" w:eastAsia="楷体_GB2312" w:cs="楷体_GB2312"/>
              <w:sz w:val="30"/>
              <w:szCs w:val="30"/>
              <w:lang w:eastAsia="zh-CN"/>
            </w:rPr>
            <w:t>（</w:t>
          </w:r>
          <w:r>
            <w:rPr>
              <w:rFonts w:hint="eastAsia" w:ascii="楷体_GB2312" w:hAnsi="楷体_GB2312" w:eastAsia="楷体_GB2312" w:cs="楷体_GB2312"/>
              <w:sz w:val="30"/>
              <w:szCs w:val="30"/>
              <w:lang w:val="en-US" w:eastAsia="zh-CN"/>
            </w:rPr>
            <w:t>二</w:t>
          </w:r>
          <w:r>
            <w:rPr>
              <w:rFonts w:hint="eastAsia" w:ascii="楷体_GB2312" w:hAnsi="楷体_GB2312" w:eastAsia="楷体_GB2312" w:cs="楷体_GB2312"/>
              <w:sz w:val="30"/>
              <w:szCs w:val="30"/>
              <w:lang w:eastAsia="zh-CN"/>
            </w:rPr>
            <w:t>）</w:t>
          </w:r>
          <w:r>
            <w:rPr>
              <w:rFonts w:hint="eastAsia" w:ascii="楷体_GB2312" w:hAnsi="楷体_GB2312" w:eastAsia="楷体_GB2312" w:cs="楷体_GB2312"/>
              <w:sz w:val="30"/>
              <w:szCs w:val="30"/>
              <w:lang w:val="en-US" w:eastAsia="zh-CN"/>
            </w:rPr>
            <w:t>建议免予行政处罚的单位</w:t>
          </w:r>
          <w:r>
            <w:rPr>
              <w:sz w:val="30"/>
              <w:szCs w:val="30"/>
            </w:rPr>
            <w:tab/>
          </w:r>
          <w:r>
            <w:rPr>
              <w:sz w:val="30"/>
              <w:szCs w:val="30"/>
            </w:rPr>
            <w:fldChar w:fldCharType="begin"/>
          </w:r>
          <w:r>
            <w:rPr>
              <w:sz w:val="30"/>
              <w:szCs w:val="30"/>
            </w:rPr>
            <w:instrText xml:space="preserve"> PAGEREF _Toc12728 \h </w:instrText>
          </w:r>
          <w:r>
            <w:rPr>
              <w:sz w:val="30"/>
              <w:szCs w:val="30"/>
            </w:rPr>
            <w:fldChar w:fldCharType="separate"/>
          </w:r>
          <w:r>
            <w:rPr>
              <w:sz w:val="30"/>
              <w:szCs w:val="30"/>
            </w:rPr>
            <w:t>- 10 -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_Toc11738 </w:instrText>
          </w:r>
          <w:r>
            <w:rPr>
              <w:sz w:val="30"/>
              <w:szCs w:val="30"/>
            </w:rPr>
            <w:fldChar w:fldCharType="separate"/>
          </w:r>
          <w:r>
            <w:rPr>
              <w:rFonts w:hint="eastAsia" w:ascii="楷体_GB2312" w:hAnsi="楷体_GB2312" w:eastAsia="楷体_GB2312" w:cs="楷体_GB2312"/>
              <w:bCs w:val="0"/>
              <w:sz w:val="30"/>
              <w:szCs w:val="30"/>
              <w:lang w:val="en-US" w:eastAsia="zh-CN"/>
            </w:rPr>
            <w:t>（三）行政处罚建议</w:t>
          </w:r>
          <w:r>
            <w:rPr>
              <w:sz w:val="30"/>
              <w:szCs w:val="30"/>
            </w:rPr>
            <w:tab/>
          </w:r>
          <w:r>
            <w:rPr>
              <w:sz w:val="30"/>
              <w:szCs w:val="30"/>
            </w:rPr>
            <w:fldChar w:fldCharType="begin"/>
          </w:r>
          <w:r>
            <w:rPr>
              <w:sz w:val="30"/>
              <w:szCs w:val="30"/>
            </w:rPr>
            <w:instrText xml:space="preserve"> PAGEREF _Toc11738 \h </w:instrText>
          </w:r>
          <w:r>
            <w:rPr>
              <w:sz w:val="30"/>
              <w:szCs w:val="30"/>
            </w:rPr>
            <w:fldChar w:fldCharType="separate"/>
          </w:r>
          <w:r>
            <w:rPr>
              <w:sz w:val="30"/>
              <w:szCs w:val="30"/>
            </w:rPr>
            <w:t>- 10 -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_Toc11477 </w:instrText>
          </w:r>
          <w:r>
            <w:rPr>
              <w:sz w:val="30"/>
              <w:szCs w:val="30"/>
            </w:rPr>
            <w:fldChar w:fldCharType="separate"/>
          </w:r>
          <w:r>
            <w:rPr>
              <w:rFonts w:hint="eastAsia" w:ascii="楷体_GB2312" w:hAnsi="楷体_GB2312" w:eastAsia="楷体_GB2312" w:cs="楷体_GB2312"/>
              <w:bCs w:val="0"/>
              <w:sz w:val="30"/>
              <w:szCs w:val="30"/>
              <w:lang w:val="en-US" w:eastAsia="zh-CN"/>
            </w:rPr>
            <w:t>（四）对公职人员的处理建议</w:t>
          </w:r>
          <w:r>
            <w:rPr>
              <w:sz w:val="30"/>
              <w:szCs w:val="30"/>
            </w:rPr>
            <w:tab/>
          </w:r>
          <w:r>
            <w:rPr>
              <w:sz w:val="30"/>
              <w:szCs w:val="30"/>
            </w:rPr>
            <w:fldChar w:fldCharType="begin"/>
          </w:r>
          <w:r>
            <w:rPr>
              <w:sz w:val="30"/>
              <w:szCs w:val="30"/>
            </w:rPr>
            <w:instrText xml:space="preserve"> PAGEREF _Toc11477 \h </w:instrText>
          </w:r>
          <w:r>
            <w:rPr>
              <w:sz w:val="30"/>
              <w:szCs w:val="30"/>
            </w:rPr>
            <w:fldChar w:fldCharType="separate"/>
          </w:r>
          <w:r>
            <w:rPr>
              <w:sz w:val="30"/>
              <w:szCs w:val="30"/>
            </w:rPr>
            <w:t>- 11 -</w:t>
          </w:r>
          <w:r>
            <w:rPr>
              <w:sz w:val="30"/>
              <w:szCs w:val="30"/>
            </w:rPr>
            <w:fldChar w:fldCharType="end"/>
          </w:r>
          <w:r>
            <w:rPr>
              <w:sz w:val="30"/>
              <w:szCs w:val="30"/>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_Toc15983 </w:instrText>
          </w:r>
          <w:r>
            <w:rPr>
              <w:sz w:val="30"/>
              <w:szCs w:val="30"/>
            </w:rPr>
            <w:fldChar w:fldCharType="separate"/>
          </w:r>
          <w:r>
            <w:rPr>
              <w:rFonts w:hint="eastAsia" w:ascii="楷体_GB2312" w:hAnsi="楷体_GB2312" w:eastAsia="楷体_GB2312" w:cs="楷体_GB2312"/>
              <w:bCs w:val="0"/>
              <w:sz w:val="30"/>
              <w:szCs w:val="30"/>
              <w:lang w:val="en-US" w:eastAsia="zh-CN"/>
            </w:rPr>
            <w:t>（五）其他处理建议</w:t>
          </w:r>
          <w:r>
            <w:rPr>
              <w:sz w:val="30"/>
              <w:szCs w:val="30"/>
            </w:rPr>
            <w:tab/>
          </w:r>
          <w:r>
            <w:rPr>
              <w:sz w:val="30"/>
              <w:szCs w:val="30"/>
            </w:rPr>
            <w:fldChar w:fldCharType="begin"/>
          </w:r>
          <w:r>
            <w:rPr>
              <w:sz w:val="30"/>
              <w:szCs w:val="30"/>
            </w:rPr>
            <w:instrText xml:space="preserve"> PAGEREF _Toc15983 \h </w:instrText>
          </w:r>
          <w:r>
            <w:rPr>
              <w:sz w:val="30"/>
              <w:szCs w:val="30"/>
            </w:rPr>
            <w:fldChar w:fldCharType="separate"/>
          </w:r>
          <w:r>
            <w:rPr>
              <w:sz w:val="30"/>
              <w:szCs w:val="30"/>
            </w:rPr>
            <w:t>- 11 -</w:t>
          </w:r>
          <w:r>
            <w:rPr>
              <w:sz w:val="30"/>
              <w:szCs w:val="30"/>
            </w:rPr>
            <w:fldChar w:fldCharType="end"/>
          </w:r>
          <w:r>
            <w:rPr>
              <w:sz w:val="30"/>
              <w:szCs w:val="30"/>
            </w:rPr>
            <w:fldChar w:fldCharType="end"/>
          </w:r>
        </w:p>
        <w:p>
          <w:pPr>
            <w:pStyle w:val="9"/>
            <w:keepNext w:val="0"/>
            <w:keepLines w:val="0"/>
            <w:pageBreakBefore w:val="0"/>
            <w:tabs>
              <w:tab w:val="right" w:leader="dot" w:pos="8306"/>
            </w:tabs>
            <w:kinsoku/>
            <w:wordWrap/>
            <w:overflowPunct/>
            <w:topLinePunct w:val="0"/>
            <w:autoSpaceDE/>
            <w:autoSpaceDN/>
            <w:bidi w:val="0"/>
            <w:adjustRightInd/>
            <w:snapToGrid/>
            <w:spacing w:line="440" w:lineRule="exact"/>
            <w:textAlignment w:val="auto"/>
            <w:rPr>
              <w:sz w:val="30"/>
              <w:szCs w:val="30"/>
            </w:rPr>
          </w:pPr>
          <w:r>
            <w:rPr>
              <w:sz w:val="30"/>
              <w:szCs w:val="30"/>
            </w:rPr>
            <w:fldChar w:fldCharType="begin"/>
          </w:r>
          <w:r>
            <w:rPr>
              <w:sz w:val="30"/>
              <w:szCs w:val="30"/>
            </w:rPr>
            <w:instrText xml:space="preserve"> HYPERLINK \l _Toc25590 </w:instrText>
          </w:r>
          <w:r>
            <w:rPr>
              <w:sz w:val="30"/>
              <w:szCs w:val="30"/>
            </w:rPr>
            <w:fldChar w:fldCharType="separate"/>
          </w:r>
          <w:r>
            <w:rPr>
              <w:rFonts w:hint="eastAsia" w:ascii="黑体" w:hAnsi="黑体" w:eastAsia="黑体" w:cs="宋体"/>
              <w:bCs/>
              <w:sz w:val="30"/>
              <w:szCs w:val="30"/>
              <w:lang w:val="en-US" w:eastAsia="zh-CN"/>
            </w:rPr>
            <w:t>六、事故整改和防范措施</w:t>
          </w:r>
          <w:r>
            <w:rPr>
              <w:sz w:val="30"/>
              <w:szCs w:val="30"/>
            </w:rPr>
            <w:tab/>
          </w:r>
          <w:r>
            <w:rPr>
              <w:sz w:val="30"/>
              <w:szCs w:val="30"/>
            </w:rPr>
            <w:fldChar w:fldCharType="begin"/>
          </w:r>
          <w:r>
            <w:rPr>
              <w:sz w:val="30"/>
              <w:szCs w:val="30"/>
            </w:rPr>
            <w:instrText xml:space="preserve"> PAGEREF _Toc25590 \h </w:instrText>
          </w:r>
          <w:r>
            <w:rPr>
              <w:sz w:val="30"/>
              <w:szCs w:val="30"/>
            </w:rPr>
            <w:fldChar w:fldCharType="separate"/>
          </w:r>
          <w:r>
            <w:rPr>
              <w:sz w:val="30"/>
              <w:szCs w:val="30"/>
            </w:rPr>
            <w:t>- 12 -</w:t>
          </w:r>
          <w:r>
            <w:rPr>
              <w:sz w:val="30"/>
              <w:szCs w:val="30"/>
            </w:rPr>
            <w:fldChar w:fldCharType="end"/>
          </w:r>
          <w:r>
            <w:rPr>
              <w:sz w:val="30"/>
              <w:szCs w:val="30"/>
            </w:rPr>
            <w:fldChar w:fldCharType="end"/>
          </w:r>
        </w:p>
        <w:p>
          <w:pPr>
            <w:keepNext w:val="0"/>
            <w:keepLines w:val="0"/>
            <w:pageBreakBefore w:val="0"/>
            <w:kinsoku/>
            <w:wordWrap/>
            <w:overflowPunct/>
            <w:topLinePunct w:val="0"/>
            <w:autoSpaceDE/>
            <w:autoSpaceDN/>
            <w:bidi w:val="0"/>
            <w:adjustRightInd/>
            <w:snapToGrid/>
            <w:spacing w:line="440" w:lineRule="exact"/>
            <w:textAlignment w:val="auto"/>
            <w:rPr>
              <w:sz w:val="30"/>
              <w:szCs w:val="30"/>
            </w:rPr>
          </w:pPr>
          <w:r>
            <w:rPr>
              <w:sz w:val="30"/>
              <w:szCs w:val="30"/>
            </w:rPr>
            <w:fldChar w:fldCharType="end"/>
          </w:r>
        </w:p>
      </w:sdtContent>
    </w:sdt>
    <w:p>
      <w:pPr>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sectPr>
          <w:footerReference r:id="rId8" w:type="first"/>
          <w:footerReference r:id="rId7" w:type="default"/>
          <w:pgSz w:w="11906" w:h="16838"/>
          <w:pgMar w:top="1440" w:right="1800" w:bottom="1440" w:left="1800" w:header="851" w:footer="992" w:gutter="0"/>
          <w:pgNumType w:fmt="numberInDash"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lang w:val="en-US" w:eastAsia="zh-CN"/>
        </w:rPr>
      </w:pPr>
      <w:r>
        <w:rPr>
          <w:rFonts w:hint="eastAsia"/>
          <w:lang w:val="en-US" w:eastAsia="zh-CN"/>
        </w:rPr>
        <w:t>2023年3月22日19时08分许，流沙北街道西园社区华骏雅苑楼盘工地上，操作员赵作鹏在操作挖掘机作业时，挖掘机履带将铺在地面的钢板卷起，砸中在一旁清理钻头堆积物的黄大恳，导致发生黄大恳死亡的一般事故。</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lang w:val="en-US" w:eastAsia="zh-CN"/>
        </w:rPr>
      </w:pPr>
      <w:r>
        <w:rPr>
          <w:rFonts w:hint="eastAsia"/>
          <w:lang w:val="en-US" w:eastAsia="zh-CN"/>
        </w:rPr>
        <w:t>事故发生后，</w:t>
      </w:r>
      <w:r>
        <w:rPr>
          <w:rFonts w:hint="eastAsia"/>
        </w:rPr>
        <w:t>根据</w:t>
      </w:r>
      <w:r>
        <w:rPr>
          <w:rFonts w:hint="eastAsia" w:ascii="仿宋_GB2312" w:hAnsi="宋体" w:eastAsia="仿宋_GB2312"/>
          <w:sz w:val="32"/>
          <w:szCs w:val="32"/>
        </w:rPr>
        <w:t>《安全生产法》</w:t>
      </w:r>
      <w:r>
        <w:rPr>
          <w:rFonts w:hint="eastAsia"/>
        </w:rPr>
        <w:t>《生产安全事故报告和调查处理条例》（国务院令第493号）的有关规定，</w:t>
      </w:r>
      <w:r>
        <w:rPr>
          <w:rFonts w:hint="eastAsia"/>
          <w:color w:val="auto"/>
        </w:rPr>
        <w:t>普宁市人民政府成立普宁流沙北华骏雅苑“3·22”一般物体打击事故</w:t>
      </w:r>
      <w:r>
        <w:rPr>
          <w:rFonts w:hint="eastAsia"/>
          <w:color w:val="auto"/>
          <w:lang w:val="en-US" w:eastAsia="zh-CN"/>
        </w:rPr>
        <w:t>调查组（</w:t>
      </w:r>
      <w:r>
        <w:rPr>
          <w:rFonts w:hint="eastAsia"/>
          <w:color w:val="auto"/>
        </w:rPr>
        <w:t>普府办函〔202</w:t>
      </w:r>
      <w:r>
        <w:rPr>
          <w:rFonts w:hint="eastAsia"/>
          <w:color w:val="auto"/>
          <w:lang w:val="en-US" w:eastAsia="zh-CN"/>
        </w:rPr>
        <w:t>3</w:t>
      </w:r>
      <w:r>
        <w:rPr>
          <w:rFonts w:hint="eastAsia"/>
          <w:color w:val="auto"/>
        </w:rPr>
        <w:t>〕</w:t>
      </w:r>
      <w:r>
        <w:rPr>
          <w:rFonts w:hint="eastAsia"/>
          <w:color w:val="auto"/>
          <w:lang w:val="en-US" w:eastAsia="zh-CN"/>
        </w:rPr>
        <w:t>24</w:t>
      </w:r>
      <w:r>
        <w:rPr>
          <w:rFonts w:hint="eastAsia"/>
          <w:color w:val="auto"/>
        </w:rPr>
        <w:t>号</w:t>
      </w:r>
      <w:r>
        <w:rPr>
          <w:rFonts w:hint="eastAsia"/>
          <w:color w:val="auto"/>
          <w:lang w:val="en-US" w:eastAsia="zh-CN"/>
        </w:rPr>
        <w:t>），</w:t>
      </w:r>
      <w:r>
        <w:rPr>
          <w:rFonts w:hint="eastAsia"/>
          <w:lang w:val="en-US" w:eastAsia="zh-CN"/>
        </w:rPr>
        <w:t>调查组由市委常委、副市长杨小勇任组长，市政府办公室副主任黄佳楠、市应急管理局局长陈家国任副组长，成员由市公安局、应急管理局、住房城乡建设局、总工会和流沙北街道办事处等单位组成。</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rPr>
      </w:pPr>
      <w:r>
        <w:rPr>
          <w:rFonts w:hint="eastAsia"/>
        </w:rPr>
        <w:t>调查组按照“四不放过”和“科学严谨、依法依规、实事求是、注重实效”的原则，迅速深入细致地开展了调查取证工作，查明事故发生的经过、原因、性质和责任，提出了对有关责任单位和责任人的处理建议。同时，针对事故原因及暴露出来的问题，提出了防范措施及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普宁流沙北华骏雅苑“3·22”一般物体打击事故是一起生产安全责任事故。</w:t>
      </w:r>
    </w:p>
    <w:p>
      <w:pPr>
        <w:outlineLvl w:val="0"/>
        <w:rPr>
          <w:rFonts w:hint="eastAsia" w:ascii="黑体" w:hAnsi="黑体" w:eastAsia="黑体" w:cs="黑体"/>
          <w:sz w:val="32"/>
          <w:szCs w:val="32"/>
          <w:lang w:val="en-US" w:eastAsia="zh-CN"/>
        </w:rPr>
      </w:pPr>
      <w:bookmarkStart w:id="14" w:name="_Toc14446"/>
      <w:r>
        <w:rPr>
          <w:rFonts w:hint="eastAsia" w:ascii="黑体" w:hAnsi="黑体" w:eastAsia="黑体" w:cs="黑体"/>
          <w:sz w:val="32"/>
          <w:szCs w:val="32"/>
          <w:lang w:val="en-US" w:eastAsia="zh-CN"/>
        </w:rPr>
        <w:t>一、事故基本情况</w:t>
      </w:r>
      <w:bookmarkEnd w:id="14"/>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bookmarkStart w:id="15" w:name="_Toc29717"/>
      <w:r>
        <w:rPr>
          <w:rFonts w:hint="eastAsia"/>
          <w:lang w:val="en-US" w:eastAsia="zh-CN"/>
        </w:rPr>
        <w:t>（一）事故现场情况</w:t>
      </w:r>
      <w:bookmarkEnd w:id="15"/>
    </w:p>
    <w:p>
      <w:pPr>
        <w:keepNext w:val="0"/>
        <w:keepLines w:val="0"/>
        <w:pageBreakBefore w:val="0"/>
        <w:widowControl w:val="0"/>
        <w:kinsoku/>
        <w:wordWrap/>
        <w:overflowPunct/>
        <w:topLinePunct w:val="0"/>
        <w:autoSpaceDE/>
        <w:autoSpaceDN/>
        <w:bidi w:val="0"/>
        <w:adjustRightInd/>
        <w:textAlignment w:val="auto"/>
        <w:rPr>
          <w:rFonts w:hint="default"/>
          <w:lang w:val="en-US" w:eastAsia="zh-CN"/>
        </w:rPr>
      </w:pPr>
      <w:r>
        <w:rPr>
          <w:rFonts w:hint="eastAsia"/>
          <w:lang w:val="en-US" w:eastAsia="zh-CN"/>
        </w:rPr>
        <w:t>华骏雅苑工地位于南平路流沙西市路段西侧。南平路西侧现场路段东西走向，往北通往南华路，往西通往流沙大道。事故现场发生于华骏雅苑项目建筑工地内，该工地处于基坑开挖平整阶段，工地内有一台挖掘机，挖掘机挖头朝南，挖掘机挖头东侧地面有一块钢板（钢板长323cm,宽184cm，厚度1.4cm），钢板东侧地面有一个旋挖机钻头，旋挖机西侧地面有一个头盔和一双水鞋。</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bookmarkStart w:id="16" w:name="_Toc18519"/>
      <w:r>
        <w:rPr>
          <w:rFonts w:hint="eastAsia"/>
          <w:color w:val="auto"/>
          <w:lang w:val="en-US" w:eastAsia="zh-CN"/>
        </w:rPr>
        <w:t>（二）工程项目情况</w:t>
      </w:r>
      <w:bookmarkEnd w:id="16"/>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rPr>
        <w:t>工程项目名称：</w:t>
      </w:r>
      <w:r>
        <w:rPr>
          <w:rFonts w:hint="eastAsia"/>
          <w:color w:val="auto"/>
          <w:lang w:val="en-US" w:eastAsia="zh-CN"/>
        </w:rPr>
        <w:t>华骏雅苑建设工程项目</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rPr>
        <w:t>工程地点：</w:t>
      </w:r>
      <w:r>
        <w:rPr>
          <w:rFonts w:hint="eastAsia"/>
          <w:color w:val="auto"/>
          <w:lang w:val="en-US" w:eastAsia="zh-CN"/>
        </w:rPr>
        <w:t>普宁市流沙北街道南平路西侧</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工程内容：按建设单位提供的设计图纸和有关资料及说明承包本工程的施工。</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设计方案：3幢28层公寓楼（其中1-4层为商业经营场所，5层为物业用房及架空层，6-28层为公寓）3层地下室。项目总占地11400平方米，总建筑面积约98726平方米。后经市自然资源局审核同意，该设计方案调整为：3幢27层公寓，其中1-3层（含3层裙楼）为零售商业、4层为架空层、5-27层为公寓、3层地下室，总建筑面积约92953平方米。</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工程工期：计划开工日期：2023年2月1日；计划竣工日期：2026年1月31日。工程工期总日历天数：1095天。</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华骏雅苑建设工程项目已取得普宁市城镇建设管理局颁发的《建设用地规划许可证》（地字第【2014】79号）；普宁市自然资源局颁发的《建设工程规划许可证》（建字第4452812022G011号）；普宁市住房和城乡建设局颁发的《建筑工程施工许可证》（编号：445281202301170101）。</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bookmarkStart w:id="17" w:name="_Toc26975"/>
      <w:r>
        <w:rPr>
          <w:rFonts w:hint="eastAsia"/>
          <w:color w:val="auto"/>
          <w:lang w:val="en-US" w:eastAsia="zh-CN"/>
        </w:rPr>
        <w:t>（三）相关单位情况</w:t>
      </w:r>
      <w:bookmarkEnd w:id="17"/>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Style w:val="19"/>
          <w:rFonts w:hint="eastAsia"/>
          <w:color w:val="auto"/>
          <w:lang w:val="en-US" w:eastAsia="zh-CN"/>
        </w:rPr>
        <w:t>1.工程建设单位（业主方）：</w:t>
      </w:r>
      <w:r>
        <w:rPr>
          <w:rFonts w:hint="eastAsia"/>
          <w:color w:val="auto"/>
          <w:lang w:val="en-US" w:eastAsia="zh-CN"/>
        </w:rPr>
        <w:t>普宁市华骏投资置业有限公司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统一社会信用代码：91445281304183926A</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法定代表人：李锡俊</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default"/>
          <w:color w:val="auto"/>
          <w:lang w:val="en-US" w:eastAsia="zh-CN"/>
        </w:rPr>
        <w:t>地址：</w:t>
      </w:r>
      <w:r>
        <w:rPr>
          <w:rFonts w:hint="eastAsia"/>
          <w:color w:val="auto"/>
          <w:lang w:val="en-US" w:eastAsia="zh-CN"/>
        </w:rPr>
        <w:t>普宁市流沙北街道南平路西侧原流沙服装市场南幢8号</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Style w:val="19"/>
          <w:rFonts w:hint="eastAsia"/>
          <w:color w:val="auto"/>
          <w:lang w:val="en-US" w:eastAsia="zh-CN"/>
        </w:rPr>
        <w:t>2.工程承包单位：</w:t>
      </w:r>
      <w:r>
        <w:rPr>
          <w:rFonts w:hint="eastAsia"/>
          <w:color w:val="auto"/>
          <w:lang w:val="en-US" w:eastAsia="zh-CN"/>
        </w:rPr>
        <w:t>广东润盟建设有限公司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统一社会信用代码：914452813152644224</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法定代表人：曾俊胡</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经营范围：建筑装修装饰工程专业承包一级，消防设施工程专业承包一级，水利水电工程施工总承包二级，市政公用工程施工总承包二级，建筑工程施工总承包一级，河湖整治工程专业承包三级，起重设备安装工程专业承包三级，建筑幕墙工程专业承包二级，水利水电机电安装工程专业承包三级，地基基础工程专业承包二级，环保工程专业承包二级，钢结构工程专业承包二级，建筑机电安装工程专业承包二级等。(依法须经批准的项目，经相关部门批准后方可开展经营活动。)</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地址：普宁市池尾街道上寮村福宁路西侧明德楼第五间。</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公司取得广东省住房和城乡建设厅颁发的《建筑业企业资质证书》（证书编号：D244246988）和《安全生产许可证》（编号：（粤）JZ安许证字[2022]200010延）。</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公司承包华骏雅苑工程项目。</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Style w:val="19"/>
          <w:rFonts w:hint="eastAsia"/>
          <w:color w:val="auto"/>
          <w:lang w:val="en-US" w:eastAsia="zh-CN"/>
        </w:rPr>
        <w:t>3.监理单位：</w:t>
      </w:r>
      <w:r>
        <w:rPr>
          <w:rFonts w:hint="eastAsia"/>
          <w:color w:val="auto"/>
          <w:lang w:val="en-US" w:eastAsia="zh-CN"/>
        </w:rPr>
        <w:t>新隆基项目管理有限公司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统一社会信用代码：914130400745422259N</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法定代表人：李金锁</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经营范围：工程项目管理（按资质证核准的范围从事经营）、房屋建筑工程监理、市政公用工程监理、电力工程监理、矿山工程监理、水利工程监理、人防工程监理、工程咨询、工程造价、工程招标代理、政府采购招标代理、中央项目招标代理、（按资质证核准范围经营），房地产咨询、营销策划、房屋居间代理＊（依法须经批准的项目，经相关部门批准后方可开展经营活动）</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地址：河北省邯郸市丛台区光明商贸中心D座十层A、B、C、D号</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val="0"/>
          <w:bCs/>
          <w:color w:val="auto"/>
          <w:szCs w:val="32"/>
          <w:lang w:val="en-US" w:eastAsia="zh-CN"/>
        </w:rPr>
      </w:pPr>
      <w:r>
        <w:rPr>
          <w:rFonts w:hint="eastAsia"/>
          <w:color w:val="auto"/>
          <w:lang w:val="en-US" w:eastAsia="zh-CN"/>
        </w:rPr>
        <w:t>公司为普宁市流沙北街道南平路西侧华骏雅苑工程项目的监理公司。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Style w:val="19"/>
          <w:rFonts w:hint="eastAsia"/>
          <w:color w:val="auto"/>
          <w:lang w:val="en-US" w:eastAsia="zh-CN"/>
        </w:rPr>
        <w:t>4.劳务分包单位：</w:t>
      </w:r>
      <w:r>
        <w:rPr>
          <w:rFonts w:hint="eastAsia"/>
          <w:color w:val="auto"/>
          <w:lang w:val="en-US" w:eastAsia="zh-CN"/>
        </w:rPr>
        <w:t>江西德合劳务有限公司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统一社会信用代码：91361100MA38A53P1R</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法定代表人：曾伟俊</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经营范围：建筑劳务分包；公路工程、市政公用工程、房屋建设工程、园林绿化工程、土石方工程、地基与基础工程、桥梁工程、钢结构工程、铝合金门窗工程、防水工程施工。（依法须经批准的项目，经相关部门批准后方可开展经营活动)。</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地址：江西省上饶市信州区志敏大道518号（大学春城）2幢1单元1-1001</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公司取得上饶市住房城乡建设局颁发的《建筑业企业资质证书》（证书编号：D336224128）。</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公司向广东润盟建设有限公司承包华骏雅苑项目桩基工程所需部分劳务。</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bookmarkStart w:id="18" w:name="_Toc21134"/>
      <w:r>
        <w:rPr>
          <w:rFonts w:hint="eastAsia"/>
          <w:color w:val="auto"/>
          <w:lang w:val="en-US" w:eastAsia="zh-CN"/>
        </w:rPr>
        <w:t>（四）项目合同书情况</w:t>
      </w:r>
      <w:bookmarkEnd w:id="18"/>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Style w:val="19"/>
          <w:rFonts w:hint="eastAsia"/>
          <w:color w:val="auto"/>
        </w:rPr>
      </w:pPr>
      <w:r>
        <w:rPr>
          <w:rFonts w:hint="eastAsia" w:ascii="仿宋_GB2312" w:hAnsi="楷体" w:eastAsia="仿宋_GB2312"/>
          <w:bCs/>
          <w:color w:val="FF0000"/>
          <w:sz w:val="32"/>
          <w:szCs w:val="32"/>
          <w:lang w:val="en-US" w:eastAsia="zh-CN"/>
        </w:rPr>
        <w:t xml:space="preserve">   </w:t>
      </w:r>
      <w:r>
        <w:rPr>
          <w:rStyle w:val="19"/>
          <w:rFonts w:hint="eastAsia"/>
          <w:color w:val="auto"/>
          <w:lang w:val="en-US" w:eastAsia="zh-CN"/>
        </w:rPr>
        <w:t xml:space="preserve"> 1.</w:t>
      </w:r>
      <w:r>
        <w:rPr>
          <w:rStyle w:val="19"/>
          <w:rFonts w:hint="eastAsia"/>
          <w:color w:val="auto"/>
        </w:rPr>
        <w:t>建设单位与施工总承包单位签订合同情况</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color w:val="FF0000"/>
          <w:lang w:val="en-US" w:eastAsia="zh-CN"/>
        </w:rPr>
      </w:pPr>
      <w:r>
        <w:rPr>
          <w:rFonts w:hint="eastAsia"/>
          <w:color w:val="auto"/>
          <w:lang w:val="en-US" w:eastAsia="zh-CN"/>
        </w:rPr>
        <w:t>2022年12月12日，普宁市华骏投资置业有限公司与广东润盟建设有限公司签订了《建筑工程施工合同（GF-2022-1212）》</w:t>
      </w:r>
      <w:r>
        <w:rPr>
          <w:rStyle w:val="18"/>
          <w:rFonts w:hint="eastAsia"/>
          <w:color w:val="auto"/>
          <w:lang w:val="en-US" w:eastAsia="zh-CN"/>
        </w:rPr>
        <w:footnoteReference w:id="0"/>
      </w:r>
      <w:r>
        <w:rPr>
          <w:rFonts w:hint="eastAsia"/>
          <w:color w:val="auto"/>
          <w:lang w:val="en-US" w:eastAsia="zh-CN"/>
        </w:rPr>
        <w:t>（华骏雅苑工程项目）。</w:t>
      </w:r>
    </w:p>
    <w:p>
      <w:pPr>
        <w:pStyle w:val="5"/>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Style w:val="19"/>
          <w:rFonts w:hint="eastAsia"/>
          <w:b/>
          <w:color w:val="auto"/>
          <w:lang w:val="en-US" w:eastAsia="zh-CN"/>
        </w:rPr>
        <w:t>2.</w:t>
      </w:r>
      <w:r>
        <w:rPr>
          <w:rFonts w:hint="eastAsia"/>
          <w:color w:val="auto"/>
          <w:lang w:val="en-US" w:eastAsia="zh-CN"/>
        </w:rPr>
        <w:t>建设单位与监理单位签订合同情况</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b w:val="0"/>
          <w:bCs w:val="0"/>
          <w:color w:val="auto"/>
          <w:lang w:val="en-US" w:eastAsia="zh-CN"/>
        </w:rPr>
      </w:pPr>
      <w:r>
        <w:rPr>
          <w:rFonts w:hint="eastAsia"/>
          <w:b w:val="0"/>
          <w:bCs w:val="0"/>
          <w:color w:val="auto"/>
          <w:lang w:val="en-US" w:eastAsia="zh-CN"/>
        </w:rPr>
        <w:t>2022年12月16日，普宁市华骏投资置业有限公司与新隆基项目管理有限公司签订了《建设工程监理协议》（华骏雅苑工程项目）</w:t>
      </w:r>
      <w:r>
        <w:rPr>
          <w:rStyle w:val="18"/>
          <w:rFonts w:hint="eastAsia"/>
          <w:b w:val="0"/>
          <w:bCs w:val="0"/>
          <w:color w:val="auto"/>
          <w:lang w:val="en-US" w:eastAsia="zh-CN"/>
        </w:rPr>
        <w:footnoteReference w:id="1"/>
      </w:r>
      <w:r>
        <w:rPr>
          <w:rFonts w:hint="eastAsia"/>
          <w:b w:val="0"/>
          <w:bCs w:val="0"/>
          <w:color w:val="auto"/>
          <w:lang w:val="en-US" w:eastAsia="zh-CN"/>
        </w:rPr>
        <w:t>。</w:t>
      </w:r>
    </w:p>
    <w:p>
      <w:pPr>
        <w:pStyle w:val="5"/>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rPr>
      </w:pPr>
      <w:r>
        <w:rPr>
          <w:rFonts w:hint="eastAsia"/>
          <w:b/>
          <w:bCs/>
          <w:color w:val="auto"/>
          <w:lang w:val="en-US" w:eastAsia="zh-CN"/>
        </w:rPr>
        <w:t>3.</w:t>
      </w:r>
      <w:r>
        <w:rPr>
          <w:rFonts w:hint="eastAsia"/>
          <w:b/>
          <w:bCs/>
          <w:color w:val="auto"/>
        </w:rPr>
        <w:t>施工总承包单位</w:t>
      </w:r>
      <w:r>
        <w:rPr>
          <w:rFonts w:hint="eastAsia"/>
          <w:color w:val="auto"/>
        </w:rPr>
        <w:t>与</w:t>
      </w:r>
      <w:r>
        <w:rPr>
          <w:rFonts w:hint="eastAsia"/>
          <w:color w:val="auto"/>
          <w:lang w:val="en-US" w:eastAsia="zh-CN"/>
        </w:rPr>
        <w:t>劳务</w:t>
      </w:r>
      <w:r>
        <w:rPr>
          <w:rFonts w:hint="eastAsia"/>
          <w:color w:val="auto"/>
        </w:rPr>
        <w:t>分包单位签订合同情况</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2023年2月1日，广东润盟建设有限公司与江西德合劳务有限公司签订《劳务分包合同》</w:t>
      </w:r>
      <w:r>
        <w:rPr>
          <w:rStyle w:val="18"/>
          <w:rFonts w:hint="eastAsia"/>
          <w:color w:val="auto"/>
          <w:lang w:val="en-US" w:eastAsia="zh-CN"/>
        </w:rPr>
        <w:footnoteReference w:id="2"/>
      </w:r>
      <w:r>
        <w:rPr>
          <w:rFonts w:hint="eastAsia"/>
          <w:color w:val="auto"/>
          <w:lang w:val="en-US" w:eastAsia="zh-CN"/>
        </w:rPr>
        <w:t>（华骏雅苑工程项目）。</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bookmarkStart w:id="19" w:name="_Toc284"/>
      <w:r>
        <w:rPr>
          <w:rFonts w:hint="eastAsia"/>
          <w:color w:val="auto"/>
          <w:lang w:val="en-US" w:eastAsia="zh-CN"/>
        </w:rPr>
        <w:t>（五）相关单位落实安全措施情况</w:t>
      </w:r>
      <w:bookmarkEnd w:id="19"/>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Style w:val="19"/>
          <w:rFonts w:hint="eastAsia"/>
          <w:color w:val="auto"/>
          <w:lang w:val="en-US" w:eastAsia="zh-CN"/>
        </w:rPr>
      </w:pPr>
      <w:r>
        <w:rPr>
          <w:rFonts w:hint="eastAsia" w:ascii="仿宋_GB2312" w:hAnsi="楷体" w:eastAsia="仿宋_GB2312"/>
          <w:color w:val="auto"/>
          <w:sz w:val="32"/>
          <w:szCs w:val="32"/>
          <w:lang w:val="en-US" w:eastAsia="zh-CN"/>
        </w:rPr>
        <w:t xml:space="preserve">    </w:t>
      </w:r>
      <w:r>
        <w:rPr>
          <w:rStyle w:val="19"/>
          <w:rFonts w:hint="eastAsia"/>
          <w:color w:val="auto"/>
          <w:lang w:val="en-US" w:eastAsia="zh-CN"/>
        </w:rPr>
        <w:t>1.广东润盟建设有限公司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公司</w:t>
      </w:r>
      <w:r>
        <w:rPr>
          <w:rFonts w:hint="eastAsia"/>
          <w:color w:val="auto"/>
        </w:rPr>
        <w:t>组织制定并落实了各项安全生产规章制度和操作规程</w:t>
      </w:r>
      <w:r>
        <w:rPr>
          <w:rFonts w:hint="eastAsia"/>
          <w:color w:val="auto"/>
          <w:lang w:eastAsia="zh-CN"/>
        </w:rPr>
        <w:t>，</w:t>
      </w:r>
      <w:r>
        <w:rPr>
          <w:rFonts w:hint="eastAsia"/>
          <w:color w:val="auto"/>
        </w:rPr>
        <w:t>定期开展施工现场安全检查和隐患排查，按要求对作业人员进行安全技术交底和</w:t>
      </w:r>
      <w:r>
        <w:rPr>
          <w:rFonts w:hint="eastAsia"/>
          <w:color w:val="auto"/>
          <w:lang w:val="en-US" w:eastAsia="zh-CN"/>
        </w:rPr>
        <w:t>日常</w:t>
      </w:r>
      <w:r>
        <w:rPr>
          <w:rFonts w:hint="eastAsia"/>
          <w:color w:val="auto"/>
        </w:rPr>
        <w:t>安全教育。</w:t>
      </w:r>
      <w:r>
        <w:rPr>
          <w:rFonts w:hint="eastAsia"/>
          <w:color w:val="auto"/>
          <w:lang w:val="en-US" w:eastAsia="zh-CN"/>
        </w:rPr>
        <w:t>定期召开安全专题会议，做好安全质量检查及隐患排查整改，组织开展火灾事故、触电、物体打击等应急预案演练。</w:t>
      </w:r>
    </w:p>
    <w:p>
      <w:pPr>
        <w:pStyle w:val="5"/>
        <w:keepNext w:val="0"/>
        <w:keepLines w:val="0"/>
        <w:pageBreakBefore w:val="0"/>
        <w:widowControl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color w:val="auto"/>
          <w:lang w:val="en-US" w:eastAsia="zh-CN"/>
        </w:rPr>
        <w:t>2.新隆基项目管理有限公司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FF0000"/>
          <w:lang w:val="en-US" w:eastAsia="zh-CN"/>
        </w:rPr>
      </w:pPr>
      <w:r>
        <w:rPr>
          <w:rFonts w:hint="eastAsia" w:ascii="仿宋_GB2312" w:hAnsi="仿宋_GB2312" w:eastAsia="仿宋_GB2312" w:cs="仿宋_GB2312"/>
          <w:color w:val="auto"/>
          <w:lang w:val="en-US" w:eastAsia="zh-CN"/>
        </w:rPr>
        <w:t>公司</w:t>
      </w:r>
      <w:r>
        <w:rPr>
          <w:rFonts w:hint="eastAsia" w:cs="仿宋_GB2312"/>
          <w:color w:val="auto"/>
          <w:lang w:val="en-US" w:eastAsia="zh-CN"/>
        </w:rPr>
        <w:t>制定了</w:t>
      </w:r>
      <w:r>
        <w:rPr>
          <w:rFonts w:hint="eastAsia" w:ascii="仿宋_GB2312" w:hAnsi="仿宋_GB2312" w:eastAsia="仿宋_GB2312" w:cs="仿宋_GB2312"/>
          <w:color w:val="auto"/>
          <w:lang w:val="en-US" w:eastAsia="zh-CN"/>
        </w:rPr>
        <w:t>华骏雅苑项目的工程监理安全管理制度</w:t>
      </w:r>
      <w:r>
        <w:rPr>
          <w:rFonts w:hint="eastAsia" w:cs="仿宋_GB2312"/>
          <w:color w:val="auto"/>
          <w:lang w:val="en-US" w:eastAsia="zh-CN"/>
        </w:rPr>
        <w:t>；</w:t>
      </w:r>
      <w:r>
        <w:rPr>
          <w:rFonts w:hint="eastAsia" w:ascii="仿宋_GB2312" w:hAnsi="仿宋_GB2312" w:eastAsia="仿宋_GB2312" w:cs="仿宋_GB2312"/>
          <w:color w:val="auto"/>
          <w:lang w:val="en-US" w:eastAsia="zh-CN"/>
        </w:rPr>
        <w:t>制定了项目监理部安全管理岗位职责，监理人员具有相关执业资格；制定了监理规划、监理实施细则；建立了监理例会、监理周报</w:t>
      </w:r>
      <w:r>
        <w:rPr>
          <w:rFonts w:hint="eastAsia" w:cs="仿宋_GB2312"/>
          <w:color w:val="auto"/>
          <w:lang w:val="en-US" w:eastAsia="zh-CN"/>
        </w:rPr>
        <w:t>、月报</w:t>
      </w:r>
      <w:r>
        <w:rPr>
          <w:rFonts w:hint="eastAsia" w:ascii="仿宋_GB2312" w:hAnsi="仿宋_GB2312" w:eastAsia="仿宋_GB2312" w:cs="仿宋_GB2312"/>
          <w:color w:val="auto"/>
          <w:lang w:val="en-US" w:eastAsia="zh-CN"/>
        </w:rPr>
        <w:t>制度；定期组织现场安全周检查，并组织安全总结会；</w:t>
      </w:r>
      <w:r>
        <w:rPr>
          <w:rFonts w:hint="eastAsia" w:cs="仿宋_GB2312"/>
          <w:color w:val="auto"/>
          <w:lang w:val="en-US" w:eastAsia="zh-CN"/>
        </w:rPr>
        <w:t>定期</w:t>
      </w:r>
      <w:r>
        <w:rPr>
          <w:rFonts w:hint="eastAsia" w:ascii="仿宋_GB2312" w:hAnsi="仿宋_GB2312" w:eastAsia="仿宋_GB2312" w:cs="仿宋_GB2312"/>
          <w:color w:val="auto"/>
          <w:lang w:val="en-US" w:eastAsia="zh-CN"/>
        </w:rPr>
        <w:t>进</w:t>
      </w:r>
      <w:r>
        <w:rPr>
          <w:rFonts w:hint="eastAsia"/>
          <w:color w:val="auto"/>
          <w:lang w:val="en-US" w:eastAsia="zh-CN"/>
        </w:rPr>
        <w:t>行工地巡视检查，并记好安全监理日志，按要求履行监理职责。</w:t>
      </w:r>
    </w:p>
    <w:p>
      <w:pPr>
        <w:pStyle w:val="5"/>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3.江西德合劳务有限公司</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lang w:val="en-US" w:eastAsia="zh-CN"/>
        </w:rPr>
      </w:pPr>
      <w:r>
        <w:rPr>
          <w:rFonts w:hint="eastAsia"/>
          <w:color w:val="auto"/>
          <w:lang w:val="en-US" w:eastAsia="zh-CN"/>
        </w:rPr>
        <w:t>公司</w:t>
      </w:r>
      <w:r>
        <w:rPr>
          <w:rFonts w:hint="eastAsia"/>
          <w:color w:val="auto"/>
        </w:rPr>
        <w:t>定期开展施工现场安全检查和隐患排查</w:t>
      </w:r>
      <w:r>
        <w:rPr>
          <w:rFonts w:hint="eastAsia"/>
          <w:color w:val="auto"/>
          <w:lang w:eastAsia="zh-CN"/>
        </w:rPr>
        <w:t>；</w:t>
      </w:r>
      <w:r>
        <w:rPr>
          <w:rFonts w:hint="eastAsia"/>
          <w:color w:val="auto"/>
        </w:rPr>
        <w:t>按要求对作业人员进行安全技术交底和班前安全教育</w:t>
      </w:r>
      <w:r>
        <w:rPr>
          <w:rFonts w:hint="eastAsia"/>
          <w:color w:val="auto"/>
          <w:lang w:eastAsia="zh-CN"/>
        </w:rPr>
        <w:t>；</w:t>
      </w:r>
      <w:r>
        <w:rPr>
          <w:rFonts w:hint="eastAsia"/>
          <w:color w:val="auto"/>
          <w:lang w:val="en-US" w:eastAsia="zh-CN"/>
        </w:rPr>
        <w:t>定期召开工作例会；组织开展火灾事故、高空坠落、触电、防洪防汛等应急预案演练；日常进行班组安全活动有登记记录表。</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bookmarkStart w:id="20" w:name="_Toc2640"/>
      <w:r>
        <w:rPr>
          <w:rFonts w:hint="eastAsia"/>
          <w:lang w:val="en-US" w:eastAsia="zh-CN"/>
        </w:rPr>
        <w:t>（六）事故发生经过</w:t>
      </w:r>
      <w:bookmarkEnd w:id="20"/>
    </w:p>
    <w:p>
      <w:pPr>
        <w:rPr>
          <w:rFonts w:hint="default"/>
          <w:lang w:val="en-US" w:eastAsia="zh-CN"/>
        </w:rPr>
      </w:pPr>
      <w:r>
        <w:rPr>
          <w:rFonts w:hint="eastAsia"/>
          <w:color w:val="auto"/>
          <w:lang w:val="en-US" w:eastAsia="zh-CN"/>
        </w:rPr>
        <w:t>根据监控录像所示，2023年3月22日18时50分，华骏雅苑工地上有搅拌车驶入，并陆续有工人出入施工现场。18时54分，黄大恳</w:t>
      </w:r>
      <w:r>
        <w:rPr>
          <w:rStyle w:val="18"/>
          <w:rFonts w:hint="eastAsia" w:ascii="仿宋_GB2312" w:hAnsi="仿宋_GB2312" w:eastAsia="仿宋_GB2312" w:cs="仿宋_GB2312"/>
          <w:color w:val="auto"/>
          <w:lang w:val="en-US" w:eastAsia="zh-CN"/>
        </w:rPr>
        <w:footnoteReference w:id="3"/>
      </w:r>
      <w:r>
        <w:rPr>
          <w:rFonts w:hint="eastAsia"/>
          <w:color w:val="auto"/>
          <w:lang w:val="en-US" w:eastAsia="zh-CN"/>
        </w:rPr>
        <w:t>进入工地，工地中间置放着一个钻头（呈南北向），黄大恳开始清理钻头上的堆积物（此时未佩戴安全头盔）。期间有其他人在工地上行走，并和黄大恳交谈。19时02分，黄大恳离开。19时05分，赵作鹏</w:t>
      </w:r>
      <w:r>
        <w:rPr>
          <w:rStyle w:val="18"/>
          <w:rFonts w:hint="eastAsia" w:ascii="仿宋_GB2312" w:hAnsi="仿宋_GB2312" w:eastAsia="仿宋_GB2312" w:cs="仿宋_GB2312"/>
          <w:color w:val="auto"/>
          <w:lang w:val="en-US" w:eastAsia="zh-CN"/>
        </w:rPr>
        <w:footnoteReference w:id="4"/>
      </w:r>
      <w:r>
        <w:rPr>
          <w:rFonts w:hint="eastAsia"/>
          <w:color w:val="auto"/>
          <w:lang w:val="en-US" w:eastAsia="zh-CN"/>
        </w:rPr>
        <w:t>驾驶挖掘机至钻头置放处的南面，黄大恳戴着安全头盔，走向钻头置放处的东面，指挥赵作鹏操作挖掘机将钻头顺时针旋转90°，黄朝袍</w:t>
      </w:r>
      <w:r>
        <w:rPr>
          <w:rStyle w:val="18"/>
          <w:rFonts w:hint="eastAsia" w:ascii="仿宋_GB2312" w:hAnsi="仿宋_GB2312" w:eastAsia="仿宋_GB2312" w:cs="仿宋_GB2312"/>
          <w:color w:val="auto"/>
          <w:lang w:val="en-US" w:eastAsia="zh-CN"/>
        </w:rPr>
        <w:footnoteReference w:id="5"/>
      </w:r>
      <w:r>
        <w:rPr>
          <w:rFonts w:hint="eastAsia"/>
          <w:color w:val="auto"/>
          <w:lang w:val="en-US" w:eastAsia="zh-CN"/>
        </w:rPr>
        <w:t>站在钻头置放处的东面不远处，随后走开。19时06分，黄大恳手持长棍，站在钻头南面继续清理堆积物，赵作鹏下车察看地面情况，随即回到挖掘机驾驶位，操作挖掘机从钻头西南面自南向北行驶，利用铲斗清理地面障碍物。19时07分，赵作鹏驾驶挖掘机行至钻头西面时，挖掘机履带卡住铺在地面的钢板，钢板掀起，砸中黄大恳，黄大恳向前倾倒，头部磕到钻头，钢板掉落压在黄大恳身上。</w:t>
      </w:r>
    </w:p>
    <w:p>
      <w:pPr>
        <w:pStyle w:val="3"/>
        <w:keepNext w:val="0"/>
        <w:keepLines w:val="0"/>
        <w:pageBreakBefore w:val="0"/>
        <w:widowControl w:val="0"/>
        <w:kinsoku/>
        <w:wordWrap/>
        <w:overflowPunct/>
        <w:topLinePunct w:val="0"/>
        <w:autoSpaceDE/>
        <w:autoSpaceDN/>
        <w:bidi w:val="0"/>
        <w:adjustRightInd/>
        <w:spacing w:line="560" w:lineRule="exact"/>
        <w:textAlignment w:val="auto"/>
        <w:rPr>
          <w:rFonts w:hint="default" w:eastAsia="黑体"/>
          <w:lang w:val="en-US" w:eastAsia="zh-CN"/>
        </w:rPr>
      </w:pPr>
      <w:bookmarkStart w:id="21" w:name="_Toc30346"/>
      <w:r>
        <w:rPr>
          <w:rFonts w:hint="eastAsia"/>
          <w:lang w:val="en-US" w:eastAsia="zh-CN"/>
        </w:rPr>
        <w:t>二</w:t>
      </w:r>
      <w:r>
        <w:rPr>
          <w:rFonts w:hint="eastAsia"/>
        </w:rPr>
        <w:t>、</w:t>
      </w:r>
      <w:r>
        <w:rPr>
          <w:rFonts w:hint="eastAsia"/>
          <w:lang w:val="en-US" w:eastAsia="zh-CN"/>
        </w:rPr>
        <w:t>事故应急处置及评估情况</w:t>
      </w:r>
      <w:bookmarkEnd w:id="21"/>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default"/>
          <w:lang w:val="en-US" w:eastAsia="zh-CN"/>
        </w:rPr>
      </w:pPr>
      <w:bookmarkStart w:id="22" w:name="_Toc1809"/>
      <w:r>
        <w:rPr>
          <w:rFonts w:hint="eastAsia"/>
          <w:lang w:val="en-US" w:eastAsia="zh-CN"/>
        </w:rPr>
        <w:t>（一）应急救援情况</w:t>
      </w:r>
      <w:bookmarkEnd w:id="22"/>
    </w:p>
    <w:p>
      <w:pPr>
        <w:bidi w:val="0"/>
        <w:rPr>
          <w:rFonts w:hint="eastAsia"/>
          <w:color w:val="auto"/>
          <w:lang w:val="en-US" w:eastAsia="zh-CN"/>
        </w:rPr>
      </w:pPr>
      <w:bookmarkStart w:id="23" w:name="_Toc18643"/>
      <w:r>
        <w:rPr>
          <w:rFonts w:hint="eastAsia"/>
          <w:color w:val="auto"/>
          <w:lang w:val="en-US" w:eastAsia="zh-CN"/>
        </w:rPr>
        <w:t>黄朝袍从工地东南面跑过来查看情况，大声呼喊并制止赵作鹏，而后从挖掘机前面绕到驾驶位喊赵作鹏下来，赵作鹏急忙从操作机驾驶座下来，李明江</w:t>
      </w:r>
      <w:r>
        <w:rPr>
          <w:rStyle w:val="18"/>
          <w:rFonts w:hint="eastAsia" w:ascii="仿宋_GB2312" w:hAnsi="仿宋_GB2312" w:eastAsia="仿宋_GB2312" w:cs="仿宋_GB2312"/>
          <w:color w:val="auto"/>
          <w:lang w:val="en-US" w:eastAsia="zh-CN"/>
        </w:rPr>
        <w:footnoteReference w:id="6"/>
      </w:r>
      <w:r>
        <w:rPr>
          <w:rFonts w:hint="eastAsia"/>
          <w:color w:val="auto"/>
          <w:lang w:val="en-US" w:eastAsia="zh-CN"/>
        </w:rPr>
        <w:t>从工地北面跑过来，三人试图搬开钢板未果，赵作鹏又回到挖掘机驾驶座上操作挖掘机，在李明江的指挥下将钢板从黄大恳身上移开。黄朝袍跑开喊来黄子丹</w:t>
      </w:r>
      <w:r>
        <w:rPr>
          <w:rStyle w:val="18"/>
          <w:rFonts w:hint="eastAsia" w:ascii="仿宋_GB2312" w:hAnsi="仿宋_GB2312" w:eastAsia="仿宋_GB2312" w:cs="仿宋_GB2312"/>
          <w:color w:val="auto"/>
          <w:lang w:val="en-US" w:eastAsia="zh-CN"/>
        </w:rPr>
        <w:footnoteReference w:id="7"/>
      </w:r>
      <w:r>
        <w:rPr>
          <w:rFonts w:hint="eastAsia"/>
          <w:color w:val="auto"/>
          <w:lang w:val="en-US" w:eastAsia="zh-CN"/>
        </w:rPr>
        <w:t>并打电话报警，黄子丹赶到现场查看后，驾车和黄朝袍一同将黄大恳送往医院抢救，经医生确认已死亡。</w:t>
      </w:r>
      <w:bookmarkEnd w:id="23"/>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bookmarkStart w:id="24" w:name="_Toc20425"/>
      <w:r>
        <w:rPr>
          <w:rFonts w:hint="eastAsia"/>
          <w:lang w:val="en-US" w:eastAsia="zh-CN"/>
        </w:rPr>
        <w:t>（二）事故信息接报及响应情况</w:t>
      </w:r>
      <w:bookmarkEnd w:id="24"/>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lang w:val="en-US" w:eastAsia="zh-CN"/>
        </w:rPr>
      </w:pPr>
      <w:r>
        <w:rPr>
          <w:rFonts w:hint="eastAsia" w:hAnsi="宋体"/>
          <w:color w:val="auto"/>
          <w:sz w:val="32"/>
          <w:szCs w:val="32"/>
          <w:lang w:val="en-US" w:eastAsia="zh-CN"/>
        </w:rPr>
        <w:t>2023年3月22日21时28分，城北派出所接市110指挥中心指令，迅速组织警力到场处置。</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bookmarkStart w:id="25" w:name="_Toc22758"/>
      <w:r>
        <w:rPr>
          <w:rFonts w:hint="eastAsia"/>
          <w:lang w:val="en-US" w:eastAsia="zh-CN"/>
        </w:rPr>
        <w:t>（三）善后处理情况</w:t>
      </w:r>
      <w:bookmarkEnd w:id="25"/>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eastAsia="仿宋_GB2312"/>
          <w:color w:val="auto"/>
          <w:lang w:eastAsia="zh-CN"/>
        </w:rPr>
      </w:pPr>
      <w:r>
        <w:rPr>
          <w:rFonts w:hint="eastAsia"/>
          <w:color w:val="auto"/>
          <w:lang w:val="en-US" w:eastAsia="zh-CN"/>
        </w:rPr>
        <w:t>事</w:t>
      </w:r>
      <w:r>
        <w:rPr>
          <w:rFonts w:hint="eastAsia"/>
          <w:color w:val="auto"/>
        </w:rPr>
        <w:t>故发生后，经多方努力协商，施工方代表同死者家属达成赔偿和谅解协议</w:t>
      </w:r>
      <w:r>
        <w:rPr>
          <w:rFonts w:hint="eastAsia"/>
          <w:color w:val="auto"/>
          <w:lang w:eastAsia="zh-CN"/>
        </w:rPr>
        <w:t>。</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bookmarkStart w:id="26" w:name="_Toc23859"/>
      <w:r>
        <w:rPr>
          <w:rFonts w:hint="eastAsia"/>
          <w:lang w:val="en-US" w:eastAsia="zh-CN"/>
        </w:rPr>
        <w:t>（四）应急处置评估</w:t>
      </w:r>
      <w:bookmarkEnd w:id="26"/>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color w:val="auto"/>
        </w:rPr>
        <w:t>广东</w:t>
      </w:r>
      <w:r>
        <w:rPr>
          <w:rFonts w:hint="eastAsia"/>
          <w:color w:val="auto"/>
          <w:lang w:val="en-US" w:eastAsia="zh-CN"/>
        </w:rPr>
        <w:t>润盟建设</w:t>
      </w:r>
      <w:r>
        <w:rPr>
          <w:rFonts w:hint="eastAsia"/>
          <w:color w:val="auto"/>
        </w:rPr>
        <w:t>有限公司</w:t>
      </w:r>
      <w:r>
        <w:rPr>
          <w:rFonts w:hint="eastAsia"/>
          <w:color w:val="auto"/>
          <w:lang w:eastAsia="zh-CN"/>
        </w:rPr>
        <w:t>、</w:t>
      </w:r>
      <w:r>
        <w:rPr>
          <w:rFonts w:hint="eastAsia"/>
          <w:color w:val="auto"/>
          <w:lang w:val="en-US" w:eastAsia="zh-CN"/>
        </w:rPr>
        <w:t>新隆基项目管理</w:t>
      </w:r>
      <w:r>
        <w:rPr>
          <w:rFonts w:hint="eastAsia"/>
          <w:color w:val="auto"/>
          <w:lang w:eastAsia="zh-CN"/>
        </w:rPr>
        <w:t>有限公司、</w:t>
      </w:r>
      <w:r>
        <w:rPr>
          <w:rFonts w:hint="eastAsia"/>
          <w:color w:val="auto"/>
          <w:lang w:val="en-US" w:eastAsia="zh-CN"/>
        </w:rPr>
        <w:t>江西德合</w:t>
      </w:r>
      <w:r>
        <w:rPr>
          <w:rFonts w:hint="eastAsia"/>
          <w:color w:val="auto"/>
          <w:lang w:eastAsia="zh-CN"/>
        </w:rPr>
        <w:t>劳务有限公司</w:t>
      </w:r>
      <w:r>
        <w:rPr>
          <w:rFonts w:hint="eastAsia"/>
          <w:color w:val="auto"/>
        </w:rPr>
        <w:t>立即派员赶赴现场组织开展救援工作并全力做好死者善后及其家属的安抚、安置工作。</w:t>
      </w:r>
      <w:r>
        <w:rPr>
          <w:rFonts w:hint="eastAsia"/>
          <w:color w:val="auto"/>
          <w:lang w:val="en-US" w:eastAsia="zh-CN"/>
        </w:rPr>
        <w:t>事故应急处置过程未发生次生、衍生事件</w:t>
      </w:r>
      <w:r>
        <w:rPr>
          <w:rFonts w:hint="eastAsia"/>
          <w:color w:val="auto"/>
        </w:rPr>
        <w:t>，社会面平稳。</w:t>
      </w:r>
    </w:p>
    <w:p>
      <w:pPr>
        <w:pStyle w:val="4"/>
        <w:keepNext w:val="0"/>
        <w:keepLines w:val="0"/>
        <w:pageBreakBefore w:val="0"/>
        <w:widowControl w:val="0"/>
        <w:kinsoku/>
        <w:wordWrap/>
        <w:overflowPunct/>
        <w:topLinePunct w:val="0"/>
        <w:autoSpaceDE/>
        <w:autoSpaceDN/>
        <w:bidi w:val="0"/>
        <w:adjustRightInd/>
        <w:spacing w:line="560" w:lineRule="exact"/>
        <w:textAlignment w:val="auto"/>
        <w:rPr>
          <w:rFonts w:hint="default"/>
          <w:lang w:val="en-US" w:eastAsia="zh-CN"/>
        </w:rPr>
      </w:pPr>
      <w:bookmarkStart w:id="27" w:name="_Toc21773"/>
      <w:r>
        <w:rPr>
          <w:rFonts w:hint="eastAsia"/>
          <w:lang w:val="en-US" w:eastAsia="zh-CN"/>
        </w:rPr>
        <w:t>（五）人员伤亡和直接经济损失情况</w:t>
      </w:r>
      <w:bookmarkEnd w:id="27"/>
    </w:p>
    <w:p>
      <w:pPr>
        <w:bidi w:val="0"/>
        <w:rPr>
          <w:rFonts w:hint="eastAsia"/>
          <w:lang w:val="en-US" w:eastAsia="zh-CN"/>
        </w:rPr>
      </w:pPr>
      <w:bookmarkStart w:id="28" w:name="_Toc22378"/>
      <w:r>
        <w:rPr>
          <w:rFonts w:hint="eastAsia"/>
          <w:lang w:val="en-US" w:eastAsia="zh-CN"/>
        </w:rPr>
        <w:t>事故造成黄大恳一人死亡，</w:t>
      </w:r>
      <w:r>
        <w:rPr>
          <w:rFonts w:hint="eastAsia"/>
        </w:rPr>
        <w:t>广东省普宁市公安司法鉴定中心于202</w:t>
      </w:r>
      <w:r>
        <w:rPr>
          <w:rFonts w:hint="eastAsia"/>
          <w:lang w:val="en-US" w:eastAsia="zh-CN"/>
        </w:rPr>
        <w:t>3</w:t>
      </w:r>
      <w:r>
        <w:rPr>
          <w:rFonts w:hint="eastAsia"/>
        </w:rPr>
        <w:t>年</w:t>
      </w:r>
      <w:r>
        <w:rPr>
          <w:rFonts w:hint="eastAsia"/>
          <w:lang w:val="en-US" w:eastAsia="zh-CN"/>
        </w:rPr>
        <w:t>3</w:t>
      </w:r>
      <w:r>
        <w:rPr>
          <w:rFonts w:hint="eastAsia"/>
        </w:rPr>
        <w:t>月</w:t>
      </w:r>
      <w:r>
        <w:rPr>
          <w:rFonts w:hint="eastAsia"/>
          <w:lang w:val="en-US" w:eastAsia="zh-CN"/>
        </w:rPr>
        <w:t>30</w:t>
      </w:r>
      <w:r>
        <w:rPr>
          <w:rFonts w:hint="eastAsia"/>
        </w:rPr>
        <w:t>日对</w:t>
      </w:r>
      <w:r>
        <w:rPr>
          <w:rFonts w:hint="eastAsia"/>
          <w:lang w:val="en-US" w:eastAsia="zh-CN"/>
        </w:rPr>
        <w:t>黄大恳</w:t>
      </w:r>
      <w:r>
        <w:rPr>
          <w:rFonts w:hint="eastAsia"/>
        </w:rPr>
        <w:t>尸体进行死因鉴定，对</w:t>
      </w:r>
      <w:r>
        <w:rPr>
          <w:rFonts w:hint="eastAsia"/>
          <w:lang w:val="en-US" w:eastAsia="zh-CN"/>
        </w:rPr>
        <w:t>黄大恳</w:t>
      </w:r>
      <w:r>
        <w:rPr>
          <w:rFonts w:hint="eastAsia"/>
        </w:rPr>
        <w:t>作出“</w:t>
      </w:r>
      <w:r>
        <w:rPr>
          <w:rFonts w:hint="eastAsia"/>
          <w:lang w:val="en-US" w:eastAsia="zh-CN"/>
        </w:rPr>
        <w:t>符合与钝性物体作用致颅脑严重损伤死亡</w:t>
      </w:r>
      <w:r>
        <w:rPr>
          <w:rFonts w:hint="eastAsia"/>
        </w:rPr>
        <w:t>”的鉴定结论，并出具《鉴定书》（编号为：普公（司）鉴（法尸）字〔202</w:t>
      </w:r>
      <w:r>
        <w:rPr>
          <w:rFonts w:hint="eastAsia"/>
          <w:lang w:val="en-US" w:eastAsia="zh-CN"/>
        </w:rPr>
        <w:t>3</w:t>
      </w:r>
      <w:r>
        <w:rPr>
          <w:rFonts w:hint="eastAsia"/>
        </w:rPr>
        <w:t>〕</w:t>
      </w:r>
      <w:r>
        <w:rPr>
          <w:rFonts w:hint="eastAsia"/>
          <w:lang w:val="en-US" w:eastAsia="zh-CN"/>
        </w:rPr>
        <w:t>66</w:t>
      </w:r>
      <w:r>
        <w:rPr>
          <w:rFonts w:hint="eastAsia"/>
        </w:rPr>
        <w:t>号</w:t>
      </w:r>
      <w:r>
        <w:rPr>
          <w:rFonts w:hint="eastAsia"/>
          <w:lang w:val="en-US" w:eastAsia="zh-CN"/>
        </w:rPr>
        <w:t>），直接经济损失130万元</w:t>
      </w:r>
      <w:r>
        <w:rPr>
          <w:rFonts w:hint="eastAsia"/>
        </w:rPr>
        <w:t>。</w:t>
      </w:r>
      <w:bookmarkEnd w:id="28"/>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lang w:val="en-US" w:eastAsia="zh-CN"/>
        </w:rPr>
      </w:pPr>
      <w:bookmarkStart w:id="29" w:name="_Toc29742"/>
      <w:r>
        <w:rPr>
          <w:rFonts w:hint="eastAsia"/>
          <w:lang w:val="en-US" w:eastAsia="zh-CN"/>
        </w:rPr>
        <w:t>三、事故原因分析</w:t>
      </w:r>
      <w:bookmarkEnd w:id="29"/>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30" w:name="_Toc1008"/>
      <w:r>
        <w:rPr>
          <w:rFonts w:hint="eastAsia" w:ascii="楷体_GB2312" w:hAnsi="楷体_GB2312" w:eastAsia="楷体_GB2312" w:cs="楷体_GB2312"/>
          <w:color w:val="auto"/>
          <w:sz w:val="32"/>
          <w:szCs w:val="32"/>
        </w:rPr>
        <w:t>（一）直接原因</w:t>
      </w:r>
      <w:r>
        <w:rPr>
          <w:rFonts w:hint="eastAsia" w:ascii="楷体_GB2312" w:hAnsi="楷体_GB2312" w:eastAsia="楷体_GB2312" w:cs="楷体_GB2312"/>
          <w:color w:val="auto"/>
          <w:sz w:val="32"/>
          <w:szCs w:val="32"/>
          <w:lang w:val="en-US" w:eastAsia="zh-CN"/>
        </w:rPr>
        <w:t>分析</w:t>
      </w:r>
      <w:bookmarkEnd w:id="30"/>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挖掘机操作员赵作鹏无证驾驶挖掘机，在无专人指挥，无警戒区域，无警示标志的情况下作业</w:t>
      </w:r>
      <w:r>
        <w:rPr>
          <w:rStyle w:val="18"/>
          <w:rFonts w:hint="eastAsia" w:ascii="仿宋_GB2312" w:hAnsi="仿宋_GB2312" w:eastAsia="仿宋_GB2312" w:cs="仿宋_GB2312"/>
          <w:color w:val="auto"/>
          <w:sz w:val="32"/>
          <w:szCs w:val="32"/>
          <w:lang w:val="en-US" w:eastAsia="zh-CN"/>
        </w:rPr>
        <w:footnoteReference w:id="8"/>
      </w:r>
      <w:r>
        <w:rPr>
          <w:rFonts w:hint="eastAsia" w:ascii="仿宋_GB2312" w:hAnsi="仿宋_GB2312" w:eastAsia="仿宋_GB2312" w:cs="仿宋_GB2312"/>
          <w:color w:val="auto"/>
          <w:sz w:val="32"/>
          <w:szCs w:val="32"/>
          <w:lang w:val="en-US" w:eastAsia="zh-CN"/>
        </w:rPr>
        <w:t>，未注意到</w:t>
      </w:r>
      <w:r>
        <w:rPr>
          <w:rFonts w:hint="eastAsia" w:cs="仿宋_GB2312"/>
          <w:color w:val="auto"/>
          <w:sz w:val="32"/>
          <w:szCs w:val="32"/>
          <w:lang w:val="en-US" w:eastAsia="zh-CN"/>
        </w:rPr>
        <w:t>黄大恳</w:t>
      </w:r>
      <w:r>
        <w:rPr>
          <w:rFonts w:hint="eastAsia" w:ascii="仿宋_GB2312" w:hAnsi="仿宋_GB2312" w:eastAsia="仿宋_GB2312" w:cs="仿宋_GB2312"/>
          <w:color w:val="auto"/>
          <w:sz w:val="32"/>
          <w:szCs w:val="32"/>
          <w:lang w:val="en-US" w:eastAsia="zh-CN"/>
        </w:rPr>
        <w:t>进入挖掘机作业半径，未将机械停止回转并制动，未仔细观察地面钢板平整度情况</w:t>
      </w:r>
      <w:r>
        <w:rPr>
          <w:rFonts w:hint="eastAsia"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致使铺设的钢板卷起砸中黄大恳致其</w:t>
      </w:r>
      <w:r>
        <w:rPr>
          <w:rFonts w:hint="eastAsia" w:cs="仿宋_GB2312"/>
          <w:color w:val="auto"/>
          <w:sz w:val="32"/>
          <w:szCs w:val="32"/>
          <w:lang w:val="en-US" w:eastAsia="zh-CN"/>
        </w:rPr>
        <w:t>头部受撞击</w:t>
      </w:r>
      <w:r>
        <w:rPr>
          <w:rFonts w:hint="eastAsia" w:ascii="仿宋_GB2312" w:hAnsi="仿宋_GB2312" w:eastAsia="仿宋_GB2312" w:cs="仿宋_GB2312"/>
          <w:color w:val="auto"/>
          <w:sz w:val="32"/>
          <w:szCs w:val="32"/>
          <w:lang w:val="en-US" w:eastAsia="zh-CN"/>
        </w:rPr>
        <w:t>死亡，是造成此次事故的直接原因。</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31" w:name="_Toc18861"/>
      <w:r>
        <w:rPr>
          <w:rFonts w:hint="eastAsia" w:ascii="楷体_GB2312" w:hAnsi="楷体_GB2312" w:eastAsia="楷体_GB2312" w:cs="楷体_GB2312"/>
          <w:color w:val="auto"/>
          <w:sz w:val="32"/>
          <w:szCs w:val="32"/>
        </w:rPr>
        <w:t>（二）间接原因</w:t>
      </w:r>
      <w:r>
        <w:rPr>
          <w:rFonts w:hint="eastAsia" w:ascii="楷体_GB2312" w:hAnsi="楷体_GB2312" w:eastAsia="楷体_GB2312" w:cs="楷体_GB2312"/>
          <w:color w:val="auto"/>
          <w:sz w:val="32"/>
          <w:szCs w:val="32"/>
          <w:lang w:val="en-US" w:eastAsia="zh-CN"/>
        </w:rPr>
        <w:t>分析</w:t>
      </w:r>
      <w:bookmarkEnd w:id="31"/>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工人</w:t>
      </w:r>
      <w:r>
        <w:rPr>
          <w:rFonts w:hint="eastAsia" w:cs="仿宋_GB2312"/>
          <w:color w:val="auto"/>
          <w:sz w:val="32"/>
          <w:szCs w:val="32"/>
          <w:lang w:val="en-US" w:eastAsia="zh-CN"/>
        </w:rPr>
        <w:t>黄大恳</w:t>
      </w:r>
      <w:r>
        <w:rPr>
          <w:rFonts w:hint="eastAsia" w:ascii="仿宋_GB2312" w:hAnsi="仿宋_GB2312" w:eastAsia="仿宋_GB2312" w:cs="仿宋_GB2312"/>
          <w:color w:val="auto"/>
          <w:sz w:val="32"/>
          <w:szCs w:val="32"/>
          <w:lang w:val="en-US" w:eastAsia="zh-CN"/>
        </w:rPr>
        <w:t>自我防范意识薄弱，对施工作业环境安全风险识别能力不足。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黑体" w:hAnsi="黑体" w:eastAsia="黑体" w:cs="宋体"/>
          <w:b w:val="0"/>
          <w:bCs/>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cs="仿宋_GB2312"/>
          <w:color w:val="auto"/>
          <w:sz w:val="32"/>
          <w:szCs w:val="32"/>
          <w:lang w:val="en-US" w:eastAsia="zh-CN"/>
        </w:rPr>
        <w:t>.</w:t>
      </w:r>
      <w:r>
        <w:rPr>
          <w:rFonts w:hint="eastAsia" w:hAnsi="宋体"/>
          <w:color w:val="auto"/>
          <w:sz w:val="32"/>
          <w:szCs w:val="32"/>
          <w:lang w:val="en-US" w:eastAsia="zh-CN"/>
        </w:rPr>
        <w:t>江西德合</w:t>
      </w:r>
      <w:r>
        <w:rPr>
          <w:rFonts w:hint="eastAsia" w:ascii="仿宋_GB2312" w:hAnsi="宋体" w:eastAsia="仿宋_GB2312"/>
          <w:color w:val="auto"/>
          <w:sz w:val="32"/>
          <w:szCs w:val="32"/>
          <w:lang w:val="en-US" w:eastAsia="zh-CN"/>
        </w:rPr>
        <w:t>劳务有限公司</w:t>
      </w:r>
      <w:r>
        <w:rPr>
          <w:rFonts w:hint="eastAsia" w:hAnsi="楷体"/>
          <w:bCs/>
          <w:color w:val="auto"/>
          <w:sz w:val="32"/>
          <w:szCs w:val="32"/>
          <w:lang w:val="en-US" w:eastAsia="zh-CN"/>
        </w:rPr>
        <w:t>未在易发生安全事故和较大危险因素的挖掘机施工现场设置警戒区域、悬挂警示标志。</w:t>
      </w:r>
      <w:r>
        <w:rPr>
          <w:rFonts w:hint="eastAsia" w:ascii="仿宋_GB2312" w:hAnsi="楷体" w:eastAsia="仿宋_GB2312"/>
          <w:bCs/>
          <w:color w:val="auto"/>
          <w:sz w:val="32"/>
          <w:szCs w:val="32"/>
        </w:rPr>
        <w:t>对从业人员安全教育培训不到位</w:t>
      </w:r>
      <w:r>
        <w:rPr>
          <w:rStyle w:val="18"/>
          <w:rFonts w:hint="eastAsia" w:ascii="仿宋_GB2312" w:hAnsi="楷体" w:eastAsia="仿宋_GB2312"/>
          <w:bCs/>
          <w:color w:val="auto"/>
          <w:sz w:val="32"/>
          <w:szCs w:val="32"/>
          <w:lang w:val="en-US" w:eastAsia="zh-CN"/>
        </w:rPr>
        <w:footnoteReference w:id="9"/>
      </w:r>
      <w:r>
        <w:rPr>
          <w:rFonts w:hint="eastAsia" w:ascii="仿宋_GB2312" w:hAnsi="楷体" w:eastAsia="仿宋_GB2312"/>
          <w:bCs/>
          <w:color w:val="auto"/>
          <w:sz w:val="32"/>
          <w:szCs w:val="32"/>
          <w:lang w:eastAsia="zh-CN"/>
        </w:rPr>
        <w:t>，</w:t>
      </w:r>
      <w:r>
        <w:rPr>
          <w:rFonts w:hint="eastAsia" w:ascii="仿宋_GB2312" w:hAnsi="楷体" w:eastAsia="仿宋_GB2312"/>
          <w:bCs/>
          <w:color w:val="auto"/>
          <w:sz w:val="32"/>
          <w:szCs w:val="32"/>
          <w:lang w:val="en-US" w:eastAsia="zh-CN"/>
        </w:rPr>
        <w:t>现场作业监管缺失</w:t>
      </w:r>
      <w:r>
        <w:rPr>
          <w:rFonts w:hint="eastAsia" w:hAnsi="楷体"/>
          <w:bCs/>
          <w:color w:val="auto"/>
          <w:sz w:val="32"/>
          <w:szCs w:val="32"/>
          <w:lang w:val="en-US" w:eastAsia="zh-CN"/>
        </w:rPr>
        <w:t>，事故当天挖掘机作业过程中无专人指挥，无专职安全生产管理人员对施工现场进行监督检查</w:t>
      </w:r>
      <w:r>
        <w:rPr>
          <w:rStyle w:val="18"/>
          <w:rFonts w:hint="eastAsia" w:hAnsi="楷体"/>
          <w:bCs/>
          <w:color w:val="auto"/>
          <w:sz w:val="32"/>
          <w:szCs w:val="32"/>
          <w:lang w:val="en-US" w:eastAsia="zh-CN"/>
        </w:rPr>
        <w:footnoteReference w:id="10"/>
      </w:r>
      <w:r>
        <w:rPr>
          <w:rFonts w:hint="eastAsia" w:hAnsi="楷体"/>
          <w:bCs/>
          <w:color w:val="auto"/>
          <w:sz w:val="32"/>
          <w:szCs w:val="32"/>
          <w:lang w:val="en-US" w:eastAsia="zh-CN"/>
        </w:rPr>
        <w:t>，项目负责人未在施工现场履职，未发现危及人身安全的紧急情况，未确保操作规程的遵守和安全措施的落实。</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0"/>
        <w:rPr>
          <w:rFonts w:hint="eastAsia" w:ascii="黑体" w:hAnsi="黑体" w:eastAsia="黑体" w:cs="宋体"/>
          <w:b w:val="0"/>
          <w:bCs/>
          <w:color w:val="auto"/>
          <w:sz w:val="32"/>
          <w:szCs w:val="32"/>
          <w:lang w:val="en-US" w:eastAsia="zh-CN"/>
        </w:rPr>
      </w:pPr>
      <w:bookmarkStart w:id="32" w:name="_Toc9243"/>
      <w:r>
        <w:rPr>
          <w:rFonts w:hint="eastAsia" w:ascii="黑体" w:hAnsi="黑体" w:eastAsia="黑体" w:cs="宋体"/>
          <w:b w:val="0"/>
          <w:bCs/>
          <w:color w:val="auto"/>
          <w:sz w:val="32"/>
          <w:szCs w:val="32"/>
          <w:lang w:val="en-US" w:eastAsia="zh-CN"/>
        </w:rPr>
        <w:t>四、有关人员和单位存在的主要问题</w:t>
      </w:r>
      <w:bookmarkEnd w:id="32"/>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color w:val="auto"/>
          <w:sz w:val="32"/>
          <w:szCs w:val="32"/>
          <w:lang w:val="en-US" w:eastAsia="zh-CN"/>
        </w:rPr>
      </w:pPr>
      <w:bookmarkStart w:id="33" w:name="_Toc12749"/>
      <w:r>
        <w:rPr>
          <w:rFonts w:hint="eastAsia" w:ascii="楷体_GB2312" w:hAnsi="楷体_GB2312" w:eastAsia="楷体_GB2312" w:cs="楷体_GB2312"/>
          <w:b w:val="0"/>
          <w:bCs w:val="0"/>
          <w:color w:val="auto"/>
          <w:sz w:val="32"/>
          <w:szCs w:val="32"/>
          <w:lang w:val="en-US" w:eastAsia="zh-CN"/>
        </w:rPr>
        <w:t>（一）有关人员</w:t>
      </w:r>
      <w:bookmarkEnd w:id="33"/>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仿宋_GB2312" w:hAnsi="宋体" w:eastAsia="仿宋_GB2312"/>
          <w:color w:val="auto"/>
          <w:sz w:val="32"/>
          <w:szCs w:val="32"/>
          <w:lang w:val="en-US" w:eastAsia="zh-CN"/>
        </w:rPr>
      </w:pPr>
      <w:r>
        <w:rPr>
          <w:rFonts w:hint="eastAsia" w:cs="仿宋_GB2312"/>
          <w:color w:val="auto"/>
          <w:sz w:val="32"/>
          <w:szCs w:val="32"/>
          <w:lang w:val="en-US" w:eastAsia="zh-CN"/>
        </w:rPr>
        <w:t>现场负责人黄子丹</w:t>
      </w:r>
      <w:r>
        <w:rPr>
          <w:rFonts w:hint="eastAsia" w:ascii="仿宋_GB2312" w:hAnsi="楷体" w:eastAsia="仿宋_GB2312"/>
          <w:bCs/>
          <w:color w:val="auto"/>
          <w:sz w:val="32"/>
          <w:szCs w:val="32"/>
          <w:lang w:val="en-US" w:eastAsia="zh-CN"/>
        </w:rPr>
        <w:t>对现场施工管理存在疏忽，</w:t>
      </w:r>
      <w:r>
        <w:rPr>
          <w:rFonts w:hint="eastAsia" w:cs="仿宋_GB2312"/>
          <w:bCs/>
          <w:color w:val="auto"/>
          <w:sz w:val="32"/>
          <w:szCs w:val="32"/>
          <w:lang w:val="en-US" w:eastAsia="zh-CN"/>
        </w:rPr>
        <w:t>未对现场情况进行掌握</w:t>
      </w:r>
      <w:r>
        <w:rPr>
          <w:rFonts w:hint="eastAsia" w:hAnsi="宋体"/>
          <w:color w:val="auto"/>
          <w:sz w:val="32"/>
          <w:szCs w:val="32"/>
          <w:lang w:val="en-US" w:eastAsia="zh-CN"/>
        </w:rPr>
        <w:t>，未及时发现现场存在的安全隐患</w:t>
      </w:r>
      <w:r>
        <w:rPr>
          <w:rStyle w:val="18"/>
          <w:rFonts w:hint="eastAsia" w:ascii="仿宋_GB2312" w:hAnsi="宋体" w:eastAsia="仿宋_GB2312"/>
          <w:color w:val="auto"/>
          <w:sz w:val="32"/>
          <w:szCs w:val="32"/>
        </w:rPr>
        <w:footnoteReference w:id="11"/>
      </w:r>
      <w:r>
        <w:rPr>
          <w:rFonts w:hint="eastAsia" w:hAnsi="宋体"/>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default" w:ascii="楷体_GB2312" w:hAnsi="楷体_GB2312" w:eastAsia="楷体_GB2312" w:cs="楷体_GB2312"/>
          <w:b w:val="0"/>
          <w:bCs w:val="0"/>
          <w:color w:val="auto"/>
          <w:sz w:val="32"/>
          <w:szCs w:val="32"/>
          <w:lang w:val="en-US" w:eastAsia="zh-CN"/>
        </w:rPr>
      </w:pPr>
      <w:bookmarkStart w:id="34" w:name="_Toc4601"/>
      <w:r>
        <w:rPr>
          <w:rFonts w:hint="eastAsia" w:ascii="楷体_GB2312" w:hAnsi="楷体_GB2312" w:eastAsia="楷体_GB2312" w:cs="楷体_GB2312"/>
          <w:b w:val="0"/>
          <w:bCs w:val="0"/>
          <w:color w:val="auto"/>
          <w:sz w:val="32"/>
          <w:szCs w:val="32"/>
          <w:lang w:val="en-US" w:eastAsia="zh-CN"/>
        </w:rPr>
        <w:t>（二）有关单位</w:t>
      </w:r>
      <w:bookmarkEnd w:id="34"/>
    </w:p>
    <w:p>
      <w:pPr>
        <w:bidi w:val="0"/>
        <w:rPr>
          <w:rFonts w:hint="default"/>
          <w:lang w:val="en-US" w:eastAsia="zh-CN"/>
        </w:rPr>
      </w:pPr>
      <w:bookmarkStart w:id="35" w:name="_Toc25160"/>
      <w:r>
        <w:rPr>
          <w:rFonts w:hint="eastAsia"/>
          <w:lang w:val="en-US" w:eastAsia="zh-CN"/>
        </w:rPr>
        <w:t>住房城乡建设局，对行业主管的在建工程项目的监督管理和</w:t>
      </w:r>
      <w:r>
        <w:rPr>
          <w:rFonts w:hint="eastAsia"/>
        </w:rPr>
        <w:t>安全隐患排查整治工作</w:t>
      </w:r>
      <w:r>
        <w:rPr>
          <w:rFonts w:hint="eastAsia"/>
          <w:lang w:val="en-US" w:eastAsia="zh-CN"/>
        </w:rPr>
        <w:t>监督</w:t>
      </w:r>
      <w:r>
        <w:rPr>
          <w:rFonts w:hint="eastAsia"/>
        </w:rPr>
        <w:t>不到位，</w:t>
      </w:r>
      <w:r>
        <w:rPr>
          <w:rFonts w:hint="eastAsia"/>
          <w:lang w:val="en-US" w:eastAsia="zh-CN"/>
        </w:rPr>
        <w:t>该局分别于2023年2月23日、3月17日向新隆基项目管理有限公司和广东润盟建设有限公司出具《普宁市建设工程质安检查整改通知书》，但对部分安全隐患发现不及时，处理不到位。</w:t>
      </w:r>
      <w:bookmarkEnd w:id="35"/>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0"/>
        <w:rPr>
          <w:rFonts w:hint="default" w:ascii="黑体" w:hAnsi="黑体" w:eastAsia="黑体" w:cs="宋体"/>
          <w:b w:val="0"/>
          <w:bCs/>
          <w:color w:val="auto"/>
          <w:sz w:val="32"/>
          <w:szCs w:val="32"/>
          <w:lang w:val="en-US" w:eastAsia="zh-CN"/>
        </w:rPr>
      </w:pPr>
      <w:bookmarkStart w:id="36" w:name="_Toc29986"/>
      <w:r>
        <w:rPr>
          <w:rFonts w:hint="eastAsia" w:ascii="黑体" w:hAnsi="黑体" w:eastAsia="黑体" w:cs="宋体"/>
          <w:b w:val="0"/>
          <w:bCs/>
          <w:color w:val="auto"/>
          <w:sz w:val="32"/>
          <w:szCs w:val="32"/>
          <w:lang w:val="en-US" w:eastAsia="zh-CN"/>
        </w:rPr>
        <w:t>五、对有关人员和单位的处理建议</w:t>
      </w:r>
      <w:bookmarkEnd w:id="36"/>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color w:val="auto"/>
          <w:sz w:val="32"/>
          <w:szCs w:val="32"/>
          <w:lang w:val="en-US" w:eastAsia="zh-CN"/>
        </w:rPr>
      </w:pPr>
      <w:bookmarkStart w:id="37" w:name="_Toc8784"/>
      <w:r>
        <w:rPr>
          <w:rFonts w:hint="eastAsia" w:ascii="楷体_GB2312" w:hAnsi="楷体_GB2312" w:eastAsia="楷体_GB2312" w:cs="楷体_GB2312"/>
          <w:b w:val="0"/>
          <w:bCs w:val="0"/>
          <w:color w:val="auto"/>
          <w:sz w:val="32"/>
          <w:szCs w:val="32"/>
          <w:lang w:val="en-US" w:eastAsia="zh-CN"/>
        </w:rPr>
        <w:t>（一）建议免予追究责任的人员</w:t>
      </w:r>
      <w:bookmarkEnd w:id="37"/>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cs="仿宋_GB2312"/>
          <w:b w:val="0"/>
          <w:bCs w:val="0"/>
          <w:color w:val="auto"/>
          <w:sz w:val="32"/>
          <w:szCs w:val="32"/>
          <w:lang w:val="en-US" w:eastAsia="zh-CN"/>
        </w:rPr>
        <w:t>黄大恳</w:t>
      </w:r>
      <w:r>
        <w:rPr>
          <w:rFonts w:hint="eastAsia" w:ascii="仿宋_GB2312" w:hAnsi="仿宋_GB2312" w:eastAsia="仿宋_GB2312" w:cs="仿宋_GB2312"/>
          <w:b w:val="0"/>
          <w:bCs w:val="0"/>
          <w:color w:val="auto"/>
          <w:sz w:val="32"/>
          <w:szCs w:val="32"/>
          <w:lang w:val="en-US" w:eastAsia="zh-CN"/>
        </w:rPr>
        <w:t>，</w:t>
      </w:r>
      <w:r>
        <w:rPr>
          <w:rFonts w:hint="eastAsia" w:cs="仿宋_GB2312"/>
          <w:b w:val="0"/>
          <w:bCs w:val="0"/>
          <w:color w:val="auto"/>
          <w:sz w:val="32"/>
          <w:szCs w:val="32"/>
          <w:lang w:val="en-US" w:eastAsia="zh-CN"/>
        </w:rPr>
        <w:t>江西德合</w:t>
      </w:r>
      <w:r>
        <w:rPr>
          <w:rFonts w:hint="eastAsia" w:ascii="仿宋_GB2312" w:hAnsi="仿宋_GB2312" w:eastAsia="仿宋_GB2312" w:cs="仿宋_GB2312"/>
          <w:b w:val="0"/>
          <w:bCs w:val="0"/>
          <w:color w:val="auto"/>
          <w:sz w:val="32"/>
          <w:szCs w:val="32"/>
          <w:lang w:val="en-US" w:eastAsia="zh-CN"/>
        </w:rPr>
        <w:t>劳务有限公司员工，安全意识淡薄，对事故的发生负有主要责任，鉴于</w:t>
      </w:r>
      <w:r>
        <w:rPr>
          <w:rFonts w:hint="eastAsia" w:cs="仿宋_GB2312"/>
          <w:b w:val="0"/>
          <w:bCs w:val="0"/>
          <w:color w:val="auto"/>
          <w:sz w:val="32"/>
          <w:szCs w:val="32"/>
          <w:lang w:val="en-US" w:eastAsia="zh-CN"/>
        </w:rPr>
        <w:t>黄大恳</w:t>
      </w:r>
      <w:r>
        <w:rPr>
          <w:rFonts w:hint="eastAsia" w:ascii="仿宋_GB2312" w:hAnsi="仿宋_GB2312" w:eastAsia="仿宋_GB2312" w:cs="仿宋_GB2312"/>
          <w:b w:val="0"/>
          <w:bCs w:val="0"/>
          <w:color w:val="auto"/>
          <w:sz w:val="32"/>
          <w:szCs w:val="32"/>
          <w:lang w:val="en-US" w:eastAsia="zh-CN"/>
        </w:rPr>
        <w:t>在事故中死亡，建议不予追究其责任。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38" w:name="_Toc12728"/>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建议免予行政处罚的单位</w:t>
      </w:r>
      <w:bookmarkEnd w:id="38"/>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宋体" w:eastAsia="仿宋_GB2312"/>
          <w:color w:val="auto"/>
          <w:sz w:val="32"/>
          <w:szCs w:val="32"/>
          <w:lang w:val="en-US" w:eastAsia="zh-CN"/>
        </w:rPr>
      </w:pPr>
      <w:r>
        <w:rPr>
          <w:rFonts w:hint="eastAsia" w:hAnsi="宋体"/>
          <w:color w:val="auto"/>
          <w:sz w:val="32"/>
          <w:szCs w:val="32"/>
          <w:lang w:val="en-US" w:eastAsia="zh-CN"/>
        </w:rPr>
        <w:t>1.</w:t>
      </w:r>
      <w:r>
        <w:rPr>
          <w:rFonts w:hint="eastAsia" w:ascii="仿宋_GB2312" w:hAnsi="宋体" w:eastAsia="仿宋_GB2312"/>
          <w:color w:val="auto"/>
          <w:sz w:val="32"/>
          <w:szCs w:val="32"/>
          <w:lang w:eastAsia="zh-CN"/>
        </w:rPr>
        <w:t>普宁市</w:t>
      </w:r>
      <w:r>
        <w:rPr>
          <w:rFonts w:hint="eastAsia" w:hAnsi="宋体"/>
          <w:color w:val="auto"/>
          <w:sz w:val="32"/>
          <w:szCs w:val="32"/>
          <w:lang w:val="en-US" w:eastAsia="zh-CN"/>
        </w:rPr>
        <w:t>华骏投资置业</w:t>
      </w:r>
      <w:r>
        <w:rPr>
          <w:rFonts w:hint="eastAsia" w:ascii="仿宋_GB2312" w:hAnsi="宋体" w:eastAsia="仿宋_GB2312"/>
          <w:color w:val="auto"/>
          <w:sz w:val="32"/>
          <w:szCs w:val="32"/>
          <w:lang w:eastAsia="zh-CN"/>
        </w:rPr>
        <w:t>有限公司，</w:t>
      </w:r>
      <w:r>
        <w:rPr>
          <w:rFonts w:hint="eastAsia" w:ascii="仿宋_GB2312" w:hAnsi="宋体" w:eastAsia="仿宋_GB2312"/>
          <w:color w:val="auto"/>
          <w:sz w:val="32"/>
          <w:szCs w:val="32"/>
          <w:lang w:val="en-US" w:eastAsia="zh-CN"/>
        </w:rPr>
        <w:t>作为出资单位，能做好项目开工前的准备工作，按照合同交付资金，履行</w:t>
      </w:r>
      <w:r>
        <w:rPr>
          <w:rFonts w:hint="eastAsia" w:hAnsi="宋体"/>
          <w:color w:val="auto"/>
          <w:sz w:val="32"/>
          <w:szCs w:val="32"/>
          <w:lang w:val="en-US" w:eastAsia="zh-CN"/>
        </w:rPr>
        <w:t>约定的相关</w:t>
      </w:r>
      <w:r>
        <w:rPr>
          <w:rFonts w:hint="eastAsia" w:ascii="仿宋_GB2312" w:hAnsi="宋体" w:eastAsia="仿宋_GB2312"/>
          <w:color w:val="auto"/>
          <w:sz w:val="32"/>
          <w:szCs w:val="32"/>
          <w:lang w:val="en-US" w:eastAsia="zh-CN"/>
        </w:rPr>
        <w:t>职责，建议不予处罚。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lang w:val="en-US" w:eastAsia="zh-CN"/>
        </w:rPr>
      </w:pPr>
      <w:r>
        <w:rPr>
          <w:rFonts w:hint="eastAsia" w:hAnsi="宋体"/>
          <w:color w:val="auto"/>
          <w:sz w:val="32"/>
          <w:szCs w:val="32"/>
          <w:lang w:val="en-US" w:eastAsia="zh-CN"/>
        </w:rPr>
        <w:t>2.</w:t>
      </w:r>
      <w:r>
        <w:rPr>
          <w:rFonts w:hint="eastAsia" w:ascii="仿宋_GB2312" w:hAnsi="宋体" w:eastAsia="仿宋_GB2312"/>
          <w:color w:val="auto"/>
          <w:sz w:val="32"/>
          <w:szCs w:val="32"/>
          <w:lang w:val="en-US" w:eastAsia="zh-CN"/>
        </w:rPr>
        <w:t>广东</w:t>
      </w:r>
      <w:r>
        <w:rPr>
          <w:rFonts w:hint="eastAsia" w:hAnsi="宋体"/>
          <w:color w:val="auto"/>
          <w:sz w:val="32"/>
          <w:szCs w:val="32"/>
          <w:lang w:val="en-US" w:eastAsia="zh-CN"/>
        </w:rPr>
        <w:t>润盟建设</w:t>
      </w:r>
      <w:r>
        <w:rPr>
          <w:rFonts w:hint="eastAsia" w:ascii="仿宋_GB2312" w:hAnsi="宋体" w:eastAsia="仿宋_GB2312"/>
          <w:color w:val="auto"/>
          <w:sz w:val="32"/>
          <w:szCs w:val="32"/>
          <w:lang w:val="en-US" w:eastAsia="zh-CN"/>
        </w:rPr>
        <w:t>有限公司，制定</w:t>
      </w:r>
      <w:r>
        <w:rPr>
          <w:rFonts w:hint="eastAsia" w:hAnsi="宋体"/>
          <w:color w:val="auto"/>
          <w:sz w:val="32"/>
          <w:szCs w:val="32"/>
          <w:lang w:val="en-US" w:eastAsia="zh-CN"/>
        </w:rPr>
        <w:t>了</w:t>
      </w:r>
      <w:r>
        <w:rPr>
          <w:rFonts w:hint="eastAsia" w:ascii="仿宋_GB2312" w:hAnsi="宋体" w:eastAsia="仿宋_GB2312"/>
          <w:color w:val="auto"/>
          <w:sz w:val="32"/>
          <w:szCs w:val="32"/>
          <w:lang w:val="en-US" w:eastAsia="zh-CN"/>
        </w:rPr>
        <w:t>安全生产规章制度和操作规程，并按要求定期开展</w:t>
      </w:r>
      <w:r>
        <w:rPr>
          <w:rFonts w:hint="eastAsia" w:ascii="仿宋_GB2312" w:hAnsi="宋体" w:eastAsia="仿宋_GB2312"/>
          <w:color w:val="auto"/>
          <w:sz w:val="32"/>
          <w:szCs w:val="32"/>
        </w:rPr>
        <w:t>施工现场安全检查和隐患排查</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对作业人员进行安全技术交底和班前安全教育，</w:t>
      </w:r>
      <w:r>
        <w:rPr>
          <w:rFonts w:hint="eastAsia" w:ascii="仿宋_GB2312" w:hAnsi="宋体" w:eastAsia="仿宋_GB2312"/>
          <w:color w:val="auto"/>
          <w:sz w:val="32"/>
          <w:szCs w:val="32"/>
          <w:lang w:val="en-US" w:eastAsia="zh-CN"/>
        </w:rPr>
        <w:t>做好安全检查记录</w:t>
      </w:r>
      <w:r>
        <w:rPr>
          <w:rStyle w:val="18"/>
          <w:rFonts w:hint="eastAsia" w:ascii="仿宋_GB2312" w:hAnsi="宋体" w:eastAsia="仿宋_GB2312"/>
          <w:color w:val="auto"/>
          <w:sz w:val="32"/>
          <w:szCs w:val="32"/>
          <w:lang w:val="en-US" w:eastAsia="zh-CN"/>
        </w:rPr>
        <w:footnoteReference w:id="12"/>
      </w:r>
      <w:r>
        <w:rPr>
          <w:rFonts w:hint="eastAsia" w:hAnsi="宋体"/>
          <w:color w:val="auto"/>
          <w:sz w:val="32"/>
          <w:szCs w:val="32"/>
          <w:lang w:val="en-US" w:eastAsia="zh-CN"/>
        </w:rPr>
        <w:t>，</w:t>
      </w:r>
      <w:r>
        <w:rPr>
          <w:rFonts w:hint="eastAsia" w:ascii="仿宋_GB2312" w:hAnsi="宋体" w:eastAsia="仿宋_GB2312"/>
          <w:color w:val="auto"/>
          <w:sz w:val="32"/>
          <w:szCs w:val="32"/>
        </w:rPr>
        <w:t>履行</w:t>
      </w:r>
      <w:r>
        <w:rPr>
          <w:rFonts w:hint="eastAsia" w:hAnsi="宋体"/>
          <w:color w:val="auto"/>
          <w:sz w:val="32"/>
          <w:szCs w:val="32"/>
          <w:lang w:val="en-US" w:eastAsia="zh-CN"/>
        </w:rPr>
        <w:t>了</w:t>
      </w:r>
      <w:r>
        <w:rPr>
          <w:rFonts w:hint="eastAsia" w:ascii="仿宋_GB2312" w:hAnsi="宋体" w:eastAsia="仿宋_GB2312"/>
          <w:color w:val="auto"/>
          <w:sz w:val="32"/>
          <w:szCs w:val="32"/>
        </w:rPr>
        <w:t>职责</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建议不予处罚。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color w:val="auto"/>
          <w:lang w:val="en-US" w:eastAsia="zh-CN"/>
        </w:rPr>
      </w:pPr>
      <w:r>
        <w:rPr>
          <w:rFonts w:hint="eastAsia" w:hAnsi="宋体"/>
          <w:color w:val="auto"/>
          <w:sz w:val="32"/>
          <w:szCs w:val="32"/>
          <w:lang w:val="en-US" w:eastAsia="zh-CN"/>
        </w:rPr>
        <w:t>3.新隆基项目管理</w:t>
      </w:r>
      <w:r>
        <w:rPr>
          <w:rFonts w:hint="eastAsia" w:ascii="仿宋_GB2312" w:hAnsi="宋体" w:eastAsia="仿宋_GB2312"/>
          <w:color w:val="auto"/>
          <w:sz w:val="32"/>
          <w:szCs w:val="32"/>
          <w:lang w:val="en-US" w:eastAsia="zh-CN"/>
        </w:rPr>
        <w:t>有限公司，监理人员具有相关执业资格，建立了监理例会、监理周报制度，定期组织现场安全周检查，组织安全总结会，能按要求开展安全隐患排查、安全培训和教育，履行了职责，建议不予处罚。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color w:val="auto"/>
          <w:sz w:val="32"/>
          <w:szCs w:val="32"/>
          <w:lang w:val="en-US" w:eastAsia="zh-CN"/>
        </w:rPr>
      </w:pPr>
      <w:bookmarkStart w:id="39" w:name="_Toc11738"/>
      <w:r>
        <w:rPr>
          <w:rFonts w:hint="eastAsia" w:ascii="楷体_GB2312" w:hAnsi="楷体_GB2312" w:eastAsia="楷体_GB2312" w:cs="楷体_GB2312"/>
          <w:b w:val="0"/>
          <w:bCs w:val="0"/>
          <w:color w:val="auto"/>
          <w:sz w:val="32"/>
          <w:szCs w:val="32"/>
          <w:lang w:val="en-US" w:eastAsia="zh-CN"/>
        </w:rPr>
        <w:t>（三）行政处罚建议</w:t>
      </w:r>
      <w:bookmarkEnd w:id="39"/>
    </w:p>
    <w:p>
      <w:pPr>
        <w:bidi w:val="0"/>
        <w:rPr>
          <w:rFonts w:hint="eastAsia"/>
          <w:lang w:val="en-US" w:eastAsia="zh-CN"/>
        </w:rPr>
      </w:pPr>
      <w:bookmarkStart w:id="40" w:name="_Toc15728"/>
      <w:r>
        <w:rPr>
          <w:rFonts w:hint="eastAsia"/>
          <w:lang w:val="en-US" w:eastAsia="zh-CN"/>
        </w:rPr>
        <w:t>江西德合劳务有限公司，负责华骏雅苑项目的劳务施工，</w:t>
      </w:r>
      <w:r>
        <w:rPr>
          <w:rFonts w:hint="eastAsia"/>
        </w:rPr>
        <w:t>对从业人员</w:t>
      </w:r>
      <w:r>
        <w:rPr>
          <w:rFonts w:hint="eastAsia"/>
          <w:lang w:val="en-US" w:eastAsia="zh-CN"/>
        </w:rPr>
        <w:t>资质审核不到位，对现场施工人员的</w:t>
      </w:r>
      <w:r>
        <w:rPr>
          <w:rFonts w:hint="eastAsia"/>
        </w:rPr>
        <w:t>安全教育培训</w:t>
      </w:r>
      <w:r>
        <w:rPr>
          <w:rFonts w:hint="eastAsia"/>
          <w:lang w:eastAsia="zh-CN"/>
        </w:rPr>
        <w:t>、</w:t>
      </w:r>
      <w:r>
        <w:rPr>
          <w:rFonts w:hint="eastAsia"/>
          <w:lang w:val="en-US" w:eastAsia="zh-CN"/>
        </w:rPr>
        <w:t>管理</w:t>
      </w:r>
      <w:r>
        <w:rPr>
          <w:rFonts w:hint="eastAsia"/>
        </w:rPr>
        <w:t>不到位，现场作业监管缺失，对事故发生负有主要责任，建议由普宁市应急管理局依照《中华人民共和国安全生产法》第一</w:t>
      </w:r>
      <w:r>
        <w:rPr>
          <w:rFonts w:hint="eastAsia"/>
          <w:lang w:val="en-US" w:eastAsia="zh-CN"/>
        </w:rPr>
        <w:t>百一十四</w:t>
      </w:r>
      <w:r>
        <w:rPr>
          <w:rFonts w:hint="eastAsia"/>
        </w:rPr>
        <w:t>条</w:t>
      </w:r>
      <w:r>
        <w:rPr>
          <w:rStyle w:val="18"/>
          <w:rFonts w:hint="eastAsia" w:ascii="仿宋_GB2312" w:hAnsi="宋体" w:eastAsia="仿宋_GB2312"/>
          <w:color w:val="auto"/>
          <w:szCs w:val="32"/>
        </w:rPr>
        <w:footnoteReference w:id="13"/>
      </w:r>
      <w:r>
        <w:rPr>
          <w:rFonts w:hint="eastAsia"/>
        </w:rPr>
        <w:t>处以罚款。</w:t>
      </w:r>
      <w:bookmarkEnd w:id="40"/>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color w:val="auto"/>
          <w:sz w:val="32"/>
          <w:szCs w:val="32"/>
          <w:lang w:val="en-US" w:eastAsia="zh-CN"/>
        </w:rPr>
      </w:pPr>
      <w:bookmarkStart w:id="41" w:name="_Toc11477"/>
      <w:r>
        <w:rPr>
          <w:rFonts w:hint="eastAsia" w:ascii="楷体_GB2312" w:hAnsi="楷体_GB2312" w:eastAsia="楷体_GB2312" w:cs="楷体_GB2312"/>
          <w:b w:val="0"/>
          <w:bCs w:val="0"/>
          <w:color w:val="auto"/>
          <w:sz w:val="32"/>
          <w:szCs w:val="32"/>
          <w:lang w:val="en-US" w:eastAsia="zh-CN"/>
        </w:rPr>
        <w:t>（四）对公职人员的处理建议</w:t>
      </w:r>
      <w:bookmarkEnd w:id="41"/>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事故调查组通过对相关情况和有关责任人进行调查取证，已认定性质为一般生产安全责任事故。对</w:t>
      </w:r>
      <w:r>
        <w:rPr>
          <w:rFonts w:hint="eastAsia"/>
          <w:lang w:val="en-US" w:eastAsia="zh-CN"/>
        </w:rPr>
        <w:t>相关</w:t>
      </w:r>
      <w:r>
        <w:rPr>
          <w:rFonts w:hint="eastAsia"/>
        </w:rPr>
        <w:t>人员将线索移送纪检监察机关。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Fonts w:hint="eastAsia" w:ascii="楷体_GB2312" w:hAnsi="楷体_GB2312" w:eastAsia="楷体_GB2312" w:cs="楷体_GB2312"/>
          <w:b w:val="0"/>
          <w:bCs w:val="0"/>
          <w:color w:val="auto"/>
          <w:sz w:val="32"/>
          <w:szCs w:val="32"/>
          <w:lang w:val="en-US" w:eastAsia="zh-CN"/>
        </w:rPr>
      </w:pPr>
      <w:bookmarkStart w:id="42" w:name="_Toc15983"/>
      <w:r>
        <w:rPr>
          <w:rFonts w:hint="eastAsia" w:ascii="楷体_GB2312" w:hAnsi="楷体_GB2312" w:eastAsia="楷体_GB2312" w:cs="楷体_GB2312"/>
          <w:b w:val="0"/>
          <w:bCs w:val="0"/>
          <w:color w:val="auto"/>
          <w:sz w:val="32"/>
          <w:szCs w:val="32"/>
          <w:lang w:val="en-US" w:eastAsia="zh-CN"/>
        </w:rPr>
        <w:t>（五）其他处理建议</w:t>
      </w:r>
      <w:bookmarkEnd w:id="42"/>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仿宋_GB2312" w:hAnsi="宋体" w:eastAsia="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w:t>
      </w:r>
      <w:r>
        <w:rPr>
          <w:rFonts w:hint="eastAsia" w:cs="仿宋_GB2312"/>
          <w:b w:val="0"/>
          <w:bCs w:val="0"/>
          <w:color w:val="auto"/>
          <w:sz w:val="32"/>
          <w:szCs w:val="32"/>
          <w:lang w:val="en-US" w:eastAsia="zh-CN"/>
        </w:rPr>
        <w:t>.赵作鹏，无挖掘机操作证，违章操作。建议</w:t>
      </w:r>
      <w:r>
        <w:rPr>
          <w:rFonts w:hint="eastAsia" w:ascii="仿宋_GB2312" w:hAnsi="宋体" w:eastAsia="仿宋_GB2312"/>
          <w:color w:val="auto"/>
          <w:sz w:val="32"/>
          <w:szCs w:val="32"/>
        </w:rPr>
        <w:t>由</w:t>
      </w:r>
      <w:r>
        <w:rPr>
          <w:rFonts w:hint="eastAsia" w:cs="仿宋_GB2312"/>
          <w:b w:val="0"/>
          <w:bCs w:val="0"/>
          <w:color w:val="auto"/>
          <w:sz w:val="32"/>
          <w:szCs w:val="32"/>
          <w:lang w:val="en-US" w:eastAsia="zh-CN"/>
        </w:rPr>
        <w:t>江西德合</w:t>
      </w:r>
      <w:r>
        <w:rPr>
          <w:rFonts w:hint="eastAsia" w:ascii="仿宋_GB2312" w:hAnsi="仿宋_GB2312" w:eastAsia="仿宋_GB2312" w:cs="仿宋_GB2312"/>
          <w:b w:val="0"/>
          <w:bCs w:val="0"/>
          <w:color w:val="auto"/>
          <w:sz w:val="32"/>
          <w:szCs w:val="32"/>
          <w:lang w:val="en-US" w:eastAsia="zh-CN"/>
        </w:rPr>
        <w:t>劳务有限公司</w:t>
      </w:r>
      <w:r>
        <w:rPr>
          <w:rFonts w:hint="eastAsia" w:ascii="仿宋_GB2312" w:hAnsi="宋体" w:eastAsia="仿宋_GB2312"/>
          <w:color w:val="auto"/>
          <w:sz w:val="32"/>
          <w:szCs w:val="32"/>
        </w:rPr>
        <w:t>依据公司内部规定进行处理</w:t>
      </w:r>
      <w:r>
        <w:rPr>
          <w:rStyle w:val="18"/>
          <w:rFonts w:hint="eastAsia" w:ascii="仿宋_GB2312" w:hAnsi="宋体" w:eastAsia="仿宋_GB2312"/>
          <w:color w:val="auto"/>
          <w:sz w:val="32"/>
          <w:szCs w:val="32"/>
        </w:rPr>
        <w:footnoteReference w:id="14"/>
      </w:r>
      <w:r>
        <w:rPr>
          <w:rFonts w:hint="eastAsia" w:ascii="仿宋_GB2312" w:hAnsi="宋体" w:eastAsia="仿宋_GB2312"/>
          <w:color w:val="auto"/>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宋体" w:eastAsia="仿宋_GB2312"/>
          <w:color w:val="auto"/>
          <w:sz w:val="32"/>
          <w:szCs w:val="32"/>
        </w:rPr>
      </w:pPr>
      <w:r>
        <w:rPr>
          <w:rFonts w:hint="eastAsia" w:hAnsi="宋体"/>
          <w:color w:val="auto"/>
          <w:sz w:val="32"/>
          <w:szCs w:val="32"/>
          <w:lang w:val="en-US" w:eastAsia="zh-CN"/>
        </w:rPr>
        <w:t>2.黄子丹</w:t>
      </w:r>
      <w:r>
        <w:rPr>
          <w:rFonts w:hint="eastAsia" w:ascii="仿宋_GB2312" w:hAnsi="宋体" w:eastAsia="仿宋_GB2312"/>
          <w:color w:val="auto"/>
          <w:sz w:val="32"/>
          <w:szCs w:val="32"/>
          <w:lang w:val="en-US" w:eastAsia="zh-CN"/>
        </w:rPr>
        <w:t>，</w:t>
      </w:r>
      <w:r>
        <w:rPr>
          <w:rFonts w:hint="eastAsia" w:cs="仿宋_GB2312"/>
          <w:b w:val="0"/>
          <w:bCs w:val="0"/>
          <w:color w:val="auto"/>
          <w:sz w:val="32"/>
          <w:szCs w:val="32"/>
          <w:lang w:val="en-US" w:eastAsia="zh-CN"/>
        </w:rPr>
        <w:t>江西德合</w:t>
      </w:r>
      <w:r>
        <w:rPr>
          <w:rFonts w:hint="eastAsia" w:ascii="仿宋_GB2312" w:hAnsi="仿宋_GB2312" w:eastAsia="仿宋_GB2312" w:cs="仿宋_GB2312"/>
          <w:b w:val="0"/>
          <w:bCs w:val="0"/>
          <w:color w:val="auto"/>
          <w:sz w:val="32"/>
          <w:szCs w:val="32"/>
          <w:lang w:val="en-US" w:eastAsia="zh-CN"/>
        </w:rPr>
        <w:t>劳务有限公司</w:t>
      </w:r>
      <w:r>
        <w:rPr>
          <w:rFonts w:hint="eastAsia" w:cs="仿宋_GB2312"/>
          <w:b w:val="0"/>
          <w:bCs w:val="0"/>
          <w:color w:val="auto"/>
          <w:sz w:val="32"/>
          <w:szCs w:val="32"/>
          <w:lang w:val="en-US" w:eastAsia="zh-CN"/>
        </w:rPr>
        <w:t>现场施工</w:t>
      </w:r>
      <w:r>
        <w:rPr>
          <w:rFonts w:hint="eastAsia" w:ascii="仿宋_GB2312" w:hAnsi="仿宋_GB2312" w:eastAsia="仿宋_GB2312" w:cs="仿宋_GB2312"/>
          <w:b w:val="0"/>
          <w:bCs w:val="0"/>
          <w:color w:val="auto"/>
          <w:sz w:val="32"/>
          <w:szCs w:val="32"/>
          <w:lang w:val="en-US" w:eastAsia="zh-CN"/>
        </w:rPr>
        <w:t>负责人，</w:t>
      </w:r>
      <w:r>
        <w:rPr>
          <w:rFonts w:hint="eastAsia" w:ascii="仿宋_GB2312" w:hAnsi="宋体" w:eastAsia="仿宋_GB2312"/>
          <w:color w:val="auto"/>
          <w:sz w:val="32"/>
          <w:szCs w:val="32"/>
        </w:rPr>
        <w:t>对施工现场安全管理不到位，建议由</w:t>
      </w:r>
      <w:r>
        <w:rPr>
          <w:rFonts w:hint="eastAsia" w:cs="仿宋_GB2312"/>
          <w:b w:val="0"/>
          <w:bCs w:val="0"/>
          <w:color w:val="auto"/>
          <w:sz w:val="32"/>
          <w:szCs w:val="32"/>
          <w:lang w:val="en-US" w:eastAsia="zh-CN"/>
        </w:rPr>
        <w:t>江西德合</w:t>
      </w:r>
      <w:r>
        <w:rPr>
          <w:rFonts w:hint="eastAsia" w:ascii="仿宋_GB2312" w:hAnsi="仿宋_GB2312" w:eastAsia="仿宋_GB2312" w:cs="仿宋_GB2312"/>
          <w:b w:val="0"/>
          <w:bCs w:val="0"/>
          <w:color w:val="auto"/>
          <w:sz w:val="32"/>
          <w:szCs w:val="32"/>
          <w:lang w:val="en-US" w:eastAsia="zh-CN"/>
        </w:rPr>
        <w:t>劳务有限公司</w:t>
      </w:r>
      <w:r>
        <w:rPr>
          <w:rFonts w:hint="eastAsia" w:ascii="仿宋_GB2312" w:hAnsi="宋体" w:eastAsia="仿宋_GB2312"/>
          <w:color w:val="auto"/>
          <w:sz w:val="32"/>
          <w:szCs w:val="32"/>
        </w:rPr>
        <w:t>依据公司内部规定进行处理。</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r>
        <w:rPr>
          <w:rFonts w:hint="eastAsia"/>
          <w:color w:val="auto"/>
          <w:lang w:val="en-US" w:eastAsia="zh-CN"/>
        </w:rPr>
        <w:t>3.普宁市住房城乡建设局对行业主管的在建工程项目的监督管理和</w:t>
      </w:r>
      <w:r>
        <w:rPr>
          <w:rFonts w:hint="eastAsia"/>
          <w:color w:val="auto"/>
        </w:rPr>
        <w:t>安全隐患排查整治工作落实不到位，建议责成</w:t>
      </w:r>
      <w:r>
        <w:rPr>
          <w:rFonts w:hint="eastAsia"/>
          <w:color w:val="auto"/>
          <w:lang w:val="en-US" w:eastAsia="zh-CN"/>
        </w:rPr>
        <w:t>普宁市住房城乡建设局</w:t>
      </w:r>
      <w:r>
        <w:rPr>
          <w:rFonts w:hint="eastAsia"/>
          <w:color w:val="auto"/>
        </w:rPr>
        <w:t>向</w:t>
      </w:r>
      <w:r>
        <w:rPr>
          <w:rFonts w:hint="eastAsia"/>
          <w:color w:val="auto"/>
          <w:lang w:val="en-US" w:eastAsia="zh-CN"/>
        </w:rPr>
        <w:t>普宁市人民</w:t>
      </w:r>
      <w:r>
        <w:rPr>
          <w:rFonts w:hint="eastAsia"/>
          <w:color w:val="auto"/>
        </w:rPr>
        <w:t>政府作出深刻检查。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0"/>
        <w:rPr>
          <w:rFonts w:hint="default" w:ascii="黑体" w:hAnsi="黑体" w:eastAsia="黑体" w:cs="宋体"/>
          <w:b w:val="0"/>
          <w:bCs/>
          <w:color w:val="auto"/>
          <w:sz w:val="32"/>
          <w:szCs w:val="32"/>
          <w:lang w:val="en-US" w:eastAsia="zh-CN"/>
        </w:rPr>
      </w:pPr>
      <w:bookmarkStart w:id="43" w:name="_Toc25590"/>
      <w:r>
        <w:rPr>
          <w:rFonts w:hint="eastAsia" w:ascii="黑体" w:hAnsi="黑体" w:eastAsia="黑体" w:cs="宋体"/>
          <w:b w:val="0"/>
          <w:bCs/>
          <w:color w:val="auto"/>
          <w:sz w:val="32"/>
          <w:szCs w:val="32"/>
          <w:lang w:val="en-US" w:eastAsia="zh-CN"/>
        </w:rPr>
        <w:t>六、事故整改和防范措施</w:t>
      </w:r>
      <w:bookmarkEnd w:id="43"/>
    </w:p>
    <w:p>
      <w:pPr>
        <w:pStyle w:val="22"/>
        <w:keepNext w:val="0"/>
        <w:keepLines w:val="0"/>
        <w:pageBreakBefore w:val="0"/>
        <w:widowControl w:val="0"/>
        <w:shd w:val="clear" w:color="auto" w:fill="FFFFFF"/>
        <w:kinsoku/>
        <w:wordWrap/>
        <w:overflowPunct/>
        <w:topLinePunct w:val="0"/>
        <w:autoSpaceDE/>
        <w:autoSpaceDN/>
        <w:bidi w:val="0"/>
        <w:adjustRightInd/>
        <w:spacing w:before="0" w:beforeAutospacing="0" w:after="0" w:afterAutospacing="0" w:line="560" w:lineRule="exact"/>
        <w:jc w:val="both"/>
        <w:textAlignment w:val="auto"/>
        <w:rPr>
          <w:rStyle w:val="23"/>
          <w:rFonts w:hint="default" w:ascii="仿宋_GB2312" w:hAnsi="仿宋" w:eastAsia="仿宋_GB2312"/>
          <w:color w:val="auto"/>
          <w:sz w:val="32"/>
          <w:szCs w:val="32"/>
          <w:lang w:val="en-US" w:eastAsia="zh-CN"/>
        </w:rPr>
      </w:pPr>
      <w:r>
        <w:rPr>
          <w:rStyle w:val="23"/>
          <w:rFonts w:hint="eastAsia" w:ascii="仿宋_GB2312" w:hAnsi="仿宋"/>
          <w:color w:val="auto"/>
          <w:sz w:val="32"/>
          <w:szCs w:val="32"/>
          <w:lang w:val="en-US" w:eastAsia="zh-CN"/>
        </w:rPr>
        <w:t>（一）普宁市住房城乡建设局要加强督导检查，加大</w:t>
      </w:r>
      <w:r>
        <w:rPr>
          <w:rStyle w:val="23"/>
          <w:rFonts w:hint="eastAsia" w:ascii="仿宋_GB2312" w:hAnsi="仿宋" w:eastAsia="仿宋_GB2312" w:cs="宋体"/>
          <w:color w:val="auto"/>
          <w:kern w:val="0"/>
          <w:sz w:val="32"/>
          <w:szCs w:val="32"/>
        </w:rPr>
        <w:t>对</w:t>
      </w:r>
      <w:r>
        <w:rPr>
          <w:rStyle w:val="23"/>
          <w:rFonts w:hint="eastAsia" w:ascii="仿宋_GB2312" w:hAnsi="仿宋" w:cs="宋体"/>
          <w:color w:val="auto"/>
          <w:kern w:val="0"/>
          <w:sz w:val="32"/>
          <w:szCs w:val="32"/>
          <w:lang w:val="en-US" w:eastAsia="zh-CN"/>
        </w:rPr>
        <w:t>建筑行业</w:t>
      </w:r>
      <w:r>
        <w:rPr>
          <w:rStyle w:val="23"/>
          <w:rFonts w:hint="eastAsia" w:ascii="仿宋_GB2312" w:hAnsi="仿宋" w:eastAsia="仿宋_GB2312" w:cs="宋体"/>
          <w:color w:val="auto"/>
          <w:kern w:val="0"/>
          <w:sz w:val="32"/>
          <w:szCs w:val="32"/>
        </w:rPr>
        <w:t>领域内项目的监管</w:t>
      </w:r>
      <w:r>
        <w:rPr>
          <w:rStyle w:val="23"/>
          <w:rFonts w:hint="eastAsia" w:ascii="仿宋_GB2312" w:hAnsi="仿宋" w:cs="宋体"/>
          <w:color w:val="auto"/>
          <w:kern w:val="0"/>
          <w:sz w:val="32"/>
          <w:szCs w:val="32"/>
          <w:lang w:val="en-US" w:eastAsia="zh-CN"/>
        </w:rPr>
        <w:t>力度</w:t>
      </w:r>
      <w:r>
        <w:rPr>
          <w:rStyle w:val="23"/>
          <w:rFonts w:hint="eastAsia" w:ascii="仿宋_GB2312" w:hAnsi="仿宋" w:eastAsia="仿宋_GB2312" w:cs="宋体"/>
          <w:color w:val="auto"/>
          <w:kern w:val="0"/>
          <w:sz w:val="32"/>
          <w:szCs w:val="32"/>
        </w:rPr>
        <w:t>，</w:t>
      </w:r>
      <w:r>
        <w:rPr>
          <w:rStyle w:val="23"/>
          <w:rFonts w:hint="eastAsia" w:ascii="仿宋_GB2312" w:hAnsi="仿宋" w:cs="宋体"/>
          <w:color w:val="auto"/>
          <w:kern w:val="0"/>
          <w:sz w:val="32"/>
          <w:szCs w:val="32"/>
          <w:lang w:val="en-US" w:eastAsia="zh-CN"/>
        </w:rPr>
        <w:t>严把施工安全关口，检查底线思维，主动作为，抓好风险分析研判，摸准弄清本辖区、本行业领域容易发生事故的关键风险点、重点环节，分类制定管控措施，通过多重手段防范各类生产安全事故的发生。</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color w:val="auto"/>
        </w:rPr>
      </w:pPr>
      <w:r>
        <w:rPr>
          <w:rStyle w:val="23"/>
          <w:rFonts w:hint="eastAsia" w:ascii="仿宋_GB2312" w:hAnsi="仿宋"/>
          <w:color w:val="auto"/>
          <w:sz w:val="32"/>
          <w:szCs w:val="32"/>
          <w:lang w:val="en-US" w:eastAsia="zh-CN"/>
        </w:rPr>
        <w:t>（</w:t>
      </w:r>
      <w:r>
        <w:rPr>
          <w:rStyle w:val="23"/>
          <w:rFonts w:hint="eastAsia" w:hAnsi="仿宋"/>
          <w:color w:val="auto"/>
          <w:sz w:val="32"/>
          <w:szCs w:val="32"/>
          <w:lang w:val="en-US" w:eastAsia="zh-CN"/>
        </w:rPr>
        <w:t>二</w:t>
      </w:r>
      <w:r>
        <w:rPr>
          <w:rStyle w:val="23"/>
          <w:rFonts w:hint="eastAsia" w:ascii="仿宋_GB2312" w:hAnsi="仿宋"/>
          <w:color w:val="auto"/>
          <w:sz w:val="32"/>
          <w:szCs w:val="32"/>
          <w:lang w:val="en-US" w:eastAsia="zh-CN"/>
        </w:rPr>
        <w:t>）</w:t>
      </w:r>
      <w:r>
        <w:rPr>
          <w:rFonts w:hint="eastAsia"/>
          <w:color w:val="auto"/>
          <w:lang w:val="en-US" w:eastAsia="zh-CN"/>
        </w:rPr>
        <w:t>新隆基项目管理有限公司</w:t>
      </w:r>
      <w:r>
        <w:rPr>
          <w:rFonts w:hint="eastAsia"/>
          <w:color w:val="auto"/>
        </w:rPr>
        <w:t>要坚持“安全第一、预防为主、综合治理”的方针，加强对在建工程的监管，督促施工单位严格落实安全生产主体责任，严格执行安全生产法律法规和技术规范。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auto"/>
        </w:rPr>
      </w:pPr>
      <w:r>
        <w:rPr>
          <w:rFonts w:hint="eastAsia"/>
          <w:color w:val="auto"/>
        </w:rPr>
        <w:t>（</w:t>
      </w:r>
      <w:r>
        <w:rPr>
          <w:rFonts w:hint="eastAsia"/>
          <w:color w:val="auto"/>
          <w:lang w:val="en-US" w:eastAsia="zh-CN"/>
        </w:rPr>
        <w:t>三</w:t>
      </w:r>
      <w:r>
        <w:rPr>
          <w:rFonts w:hint="eastAsia"/>
          <w:color w:val="auto"/>
        </w:rPr>
        <w:t>）</w:t>
      </w:r>
      <w:r>
        <w:rPr>
          <w:rFonts w:hint="eastAsia"/>
          <w:color w:val="auto"/>
          <w:lang w:val="en-US" w:eastAsia="zh-CN"/>
        </w:rPr>
        <w:t>广东润盟建设有限公司</w:t>
      </w:r>
      <w:r>
        <w:rPr>
          <w:rFonts w:hint="eastAsia"/>
          <w:color w:val="auto"/>
        </w:rPr>
        <w:t>要切实履行安全生产管理职责，落实安全生产主体责任，对分包工程禁止“以包代管”“包而不管”行为；要明确岗位安全责任制，</w:t>
      </w:r>
      <w:r>
        <w:rPr>
          <w:rFonts w:hint="eastAsia"/>
          <w:color w:val="auto"/>
          <w:lang w:val="en-US" w:eastAsia="zh-CN"/>
        </w:rPr>
        <w:t>增强施工人员遵章守纪和规矩意识，树立正确的安全理念，</w:t>
      </w:r>
      <w:r>
        <w:rPr>
          <w:rFonts w:hint="eastAsia"/>
          <w:color w:val="auto"/>
        </w:rPr>
        <w:t>严格按照施工方案施工，确保</w:t>
      </w:r>
      <w:r>
        <w:rPr>
          <w:rFonts w:hint="eastAsia"/>
          <w:color w:val="auto"/>
          <w:lang w:val="en-US" w:eastAsia="zh-CN"/>
        </w:rPr>
        <w:t>施工</w:t>
      </w:r>
      <w:r>
        <w:rPr>
          <w:rFonts w:hint="eastAsia"/>
          <w:color w:val="auto"/>
        </w:rPr>
        <w:t>安全。</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仿宋_GB2312" w:hAnsi="仿宋_GB2312" w:eastAsia="仿宋_GB2312" w:cs="仿宋_GB2312"/>
          <w:color w:val="FF0000"/>
          <w:sz w:val="32"/>
          <w:szCs w:val="32"/>
          <w:lang w:val="en-US" w:eastAsia="zh-CN"/>
        </w:rPr>
      </w:pPr>
      <w:r>
        <w:rPr>
          <w:rFonts w:hint="eastAsia"/>
          <w:color w:val="auto"/>
        </w:rPr>
        <w:t>（</w:t>
      </w:r>
      <w:r>
        <w:rPr>
          <w:rFonts w:hint="eastAsia"/>
          <w:color w:val="auto"/>
          <w:lang w:val="en-US" w:eastAsia="zh-CN"/>
        </w:rPr>
        <w:t>四</w:t>
      </w:r>
      <w:r>
        <w:rPr>
          <w:rFonts w:hint="eastAsia"/>
          <w:color w:val="auto"/>
        </w:rPr>
        <w:t>）</w:t>
      </w:r>
      <w:r>
        <w:rPr>
          <w:rFonts w:hint="eastAsia"/>
          <w:b w:val="0"/>
          <w:bCs w:val="0"/>
          <w:color w:val="auto"/>
          <w:lang w:val="en-US" w:eastAsia="zh-CN"/>
        </w:rPr>
        <w:t>江西德合劳务有限公司</w:t>
      </w:r>
      <w:r>
        <w:rPr>
          <w:rFonts w:hint="eastAsia"/>
          <w:b w:val="0"/>
          <w:bCs w:val="0"/>
          <w:color w:val="auto"/>
        </w:rPr>
        <w:t>要加强</w:t>
      </w:r>
      <w:r>
        <w:rPr>
          <w:rFonts w:hint="eastAsia"/>
          <w:b w:val="0"/>
          <w:bCs w:val="0"/>
          <w:color w:val="auto"/>
          <w:lang w:val="en-US" w:eastAsia="zh-CN"/>
        </w:rPr>
        <w:t>施工人员作业行为的管理和考核，对已入职的施工人员素质和从业经验严格把关，</w:t>
      </w:r>
      <w:r>
        <w:rPr>
          <w:rFonts w:hint="eastAsia"/>
          <w:b w:val="0"/>
          <w:bCs w:val="0"/>
          <w:color w:val="auto"/>
        </w:rPr>
        <w:t>督促员工严格执行安全规章制度和操作规程，严禁违规操作、冒险作业的现象发生；</w:t>
      </w:r>
      <w:r>
        <w:rPr>
          <w:rFonts w:hint="eastAsia"/>
          <w:b w:val="0"/>
          <w:bCs w:val="0"/>
          <w:color w:val="auto"/>
          <w:lang w:val="en-US" w:eastAsia="zh-CN"/>
        </w:rPr>
        <w:t>要以此案例进行安全警示教育，加大安全生产工作的宣传力度，切实提高施工人员的风险观念；</w:t>
      </w:r>
      <w:r>
        <w:rPr>
          <w:rFonts w:hint="eastAsia"/>
          <w:b w:val="0"/>
          <w:bCs w:val="0"/>
          <w:color w:val="auto"/>
        </w:rPr>
        <w:t>要加强事故应急救援演练，提高员工安全操作技能、应急处置和自防自救能力，杜绝此类事故再次发生。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仿宋_GB2312" w:hAnsi="宋体" w:eastAsia="仿宋_GB2312"/>
          <w:color w:val="auto"/>
          <w:sz w:val="32"/>
          <w:szCs w:val="32"/>
          <w:lang w:val="en-US" w:eastAsia="zh-CN"/>
        </w:rPr>
      </w:pPr>
    </w:p>
    <w:p>
      <w:pPr>
        <w:pStyle w:val="2"/>
        <w:rPr>
          <w:rFonts w:hint="default" w:ascii="仿宋_GB2312" w:hAnsi="宋体" w:eastAsia="仿宋_GB2312"/>
          <w:color w:val="auto"/>
          <w:sz w:val="32"/>
          <w:szCs w:val="32"/>
          <w:lang w:val="en-US" w:eastAsia="zh-CN"/>
        </w:rPr>
      </w:pPr>
    </w:p>
    <w:p>
      <w:pPr>
        <w:jc w:val="right"/>
        <w:rPr>
          <w:rFonts w:hint="default"/>
          <w:lang w:val="en-US" w:eastAsia="zh-CN"/>
        </w:rPr>
      </w:pPr>
    </w:p>
    <w:p>
      <w:pPr>
        <w:pStyle w:val="2"/>
        <w:keepNext w:val="0"/>
        <w:keepLines w:val="0"/>
        <w:pageBreakBefore w:val="0"/>
        <w:widowControl w:val="0"/>
        <w:kinsoku/>
        <w:wordWrap w:val="0"/>
        <w:overflowPunct/>
        <w:topLinePunct w:val="0"/>
        <w:autoSpaceDE/>
        <w:autoSpaceDN/>
        <w:bidi w:val="0"/>
        <w:adjustRightInd/>
        <w:snapToGrid/>
        <w:spacing w:before="0" w:beforeLines="0" w:line="440" w:lineRule="exact"/>
        <w:ind w:left="0" w:leftChars="0" w:firstLine="0" w:firstLineChars="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普宁流沙北华骏雅苑“3·22”一般   </w:t>
      </w:r>
    </w:p>
    <w:p>
      <w:pPr>
        <w:pStyle w:val="2"/>
        <w:keepNext w:val="0"/>
        <w:keepLines w:val="0"/>
        <w:pageBreakBefore w:val="0"/>
        <w:widowControl w:val="0"/>
        <w:kinsoku/>
        <w:wordWrap/>
        <w:overflowPunct/>
        <w:topLinePunct w:val="0"/>
        <w:autoSpaceDE/>
        <w:autoSpaceDN/>
        <w:bidi w:val="0"/>
        <w:adjustRightInd/>
        <w:snapToGrid/>
        <w:spacing w:before="0" w:beforeLines="0" w:line="440" w:lineRule="exact"/>
        <w:ind w:left="0" w:leftChars="0" w:firstLine="0" w:firstLineChars="0"/>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物体打击事故调查组                 </w:t>
      </w:r>
    </w:p>
    <w:p>
      <w:pPr>
        <w:pStyle w:val="2"/>
        <w:keepNext w:val="0"/>
        <w:keepLines w:val="0"/>
        <w:pageBreakBefore w:val="0"/>
        <w:widowControl w:val="0"/>
        <w:kinsoku/>
        <w:wordWrap/>
        <w:overflowPunct/>
        <w:topLinePunct w:val="0"/>
        <w:autoSpaceDE/>
        <w:autoSpaceDN/>
        <w:bidi w:val="0"/>
        <w:adjustRightInd/>
        <w:snapToGrid/>
        <w:spacing w:before="0" w:beforeLines="0" w:line="520" w:lineRule="exact"/>
        <w:ind w:left="0" w:leftChars="0" w:firstLine="0" w:firstLineChars="0"/>
        <w:jc w:val="left"/>
        <w:textAlignment w:val="auto"/>
        <w:rPr>
          <w:rFonts w:hint="default" w:ascii="仿宋_GB2312" w:hAnsi="仿宋_GB2312" w:eastAsia="仿宋_GB2312" w:cs="仿宋_GB2312"/>
          <w:color w:val="auto"/>
          <w:sz w:val="32"/>
          <w:szCs w:val="32"/>
          <w:lang w:val="en-US" w:eastAsia="zh-CN"/>
        </w:rPr>
      </w:pPr>
    </w:p>
    <w:sectPr>
      <w:footerReference r:id="rId9" w:type="default"/>
      <w:pgSz w:w="11906" w:h="16838"/>
      <w:pgMar w:top="1440" w:right="1800" w:bottom="1440" w:left="1800"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4896"/>
        <w:tab w:val="clear" w:pos="4153"/>
      </w:tabs>
      <w:rPr>
        <w:rFonts w:hint="eastAsia" w:eastAsia="仿宋_GB2312"/>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KAAAAAACHTuJAAAAAAAAAAAAAAAAABgAAAAAA&#10;AAAAABAAAACTAwAAX3JlbHMvUEsBAhQACgAAAAAAh07iQAAAAAAAAAAAAAAAAAQAAAAAAAAAAAAQ&#10;AAAAFgAAAGRycy9QSwECFAAUAAAACACHTuJAuow4KzICAABhBAAADgAAAAAAAAABACAAAAA1AQAA&#10;ZHJzL2Uyb0RvYy54bWxQSwECFAAUAAAACACHTuJAs0lY7tAAAAAFAQAADwAAAAAAAAABACAAAAA4&#10;AAAAZHJzL2Rvd25yZXYueG1sUEsFBgAAAAAGAAYAWQEAANk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Akgka0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0">
    <w:p>
      <w:pPr>
        <w:spacing w:line="240" w:lineRule="auto"/>
        <w:ind w:firstLine="640"/>
      </w:pPr>
      <w:r>
        <w:separator/>
      </w:r>
    </w:p>
  </w:footnote>
  <w:footnote w:type="continuationSeparator" w:id="31">
    <w:p>
      <w:pPr>
        <w:spacing w:line="240" w:lineRule="auto"/>
        <w:ind w:firstLine="640"/>
      </w:pPr>
      <w:r>
        <w:continuationSeparator/>
      </w:r>
    </w:p>
  </w:footnote>
  <w:footnote w:id="0">
    <w:p>
      <w:pPr>
        <w:pStyle w:val="10"/>
        <w:snapToGrid w:val="0"/>
        <w:rPr>
          <w:rFonts w:hint="default" w:eastAsia="仿宋_GB2312"/>
          <w:lang w:val="en-US" w:eastAsia="zh-CN"/>
        </w:rPr>
      </w:pPr>
      <w:r>
        <w:rPr>
          <w:rStyle w:val="18"/>
        </w:rPr>
        <w:footnoteRef/>
      </w:r>
      <w:r>
        <w:t xml:space="preserve"> </w:t>
      </w:r>
      <w:r>
        <w:rPr>
          <w:rFonts w:hint="eastAsia"/>
          <w:lang w:eastAsia="zh-CN"/>
        </w:rPr>
        <w:t>《</w:t>
      </w:r>
      <w:r>
        <w:rPr>
          <w:rFonts w:hint="eastAsia"/>
          <w:lang w:val="en-US" w:eastAsia="zh-CN"/>
        </w:rPr>
        <w:t>建设工程施工合同</w:t>
      </w:r>
      <w:r>
        <w:rPr>
          <w:rFonts w:hint="eastAsia"/>
          <w:lang w:eastAsia="zh-CN"/>
        </w:rPr>
        <w:t>》</w:t>
      </w:r>
      <w:r>
        <w:rPr>
          <w:rFonts w:hint="eastAsia"/>
          <w:lang w:val="en-US" w:eastAsia="zh-CN"/>
        </w:rPr>
        <w:t>约定合同工期总日历天数为1095天。...承包人承诺按照法律规定及合同约定组织完成工程施工，确保工程质量和安全，不进行转包及违法分包，并在缺陷责任期及保修期内承担相应的工程维修责任。</w:t>
      </w:r>
    </w:p>
  </w:footnote>
  <w:footnote w:id="1">
    <w:p>
      <w:pPr>
        <w:pStyle w:val="10"/>
        <w:snapToGrid w:val="0"/>
        <w:rPr>
          <w:rFonts w:hint="default" w:eastAsia="仿宋_GB2312"/>
          <w:lang w:val="en-US" w:eastAsia="zh-CN"/>
        </w:rPr>
      </w:pPr>
      <w:r>
        <w:rPr>
          <w:rStyle w:val="18"/>
        </w:rPr>
        <w:footnoteRef/>
      </w:r>
      <w:r>
        <w:t xml:space="preserve"> </w:t>
      </w:r>
      <w:r>
        <w:rPr>
          <w:rFonts w:hint="eastAsia"/>
          <w:lang w:eastAsia="zh-CN"/>
        </w:rPr>
        <w:t>《</w:t>
      </w:r>
      <w:r>
        <w:rPr>
          <w:rFonts w:hint="eastAsia"/>
          <w:lang w:val="en-US" w:eastAsia="zh-CN"/>
        </w:rPr>
        <w:t>建设工程监理协议</w:t>
      </w:r>
      <w:r>
        <w:rPr>
          <w:rFonts w:hint="eastAsia"/>
          <w:lang w:eastAsia="zh-CN"/>
        </w:rPr>
        <w:t>》</w:t>
      </w:r>
      <w:r>
        <w:rPr>
          <w:rFonts w:hint="eastAsia"/>
          <w:lang w:val="en-US" w:eastAsia="zh-CN"/>
        </w:rPr>
        <w:t>约定监理服务期为：施工期自2023年2月11日桩基施工开始，至2026年1月31日项目全部竣工验收合格止。</w:t>
      </w:r>
    </w:p>
  </w:footnote>
  <w:footnote w:id="2">
    <w:p>
      <w:pPr>
        <w:pStyle w:val="10"/>
        <w:snapToGrid w:val="0"/>
        <w:rPr>
          <w:rFonts w:hint="default" w:eastAsia="仿宋_GB2312"/>
          <w:lang w:val="en-US" w:eastAsia="zh-CN"/>
        </w:rPr>
      </w:pPr>
      <w:r>
        <w:rPr>
          <w:rStyle w:val="18"/>
        </w:rPr>
        <w:footnoteRef/>
      </w:r>
      <w:r>
        <w:t xml:space="preserve"> </w:t>
      </w:r>
      <w:r>
        <w:rPr>
          <w:rFonts w:hint="eastAsia"/>
          <w:lang w:eastAsia="zh-CN"/>
        </w:rPr>
        <w:t>《</w:t>
      </w:r>
      <w:r>
        <w:rPr>
          <w:rFonts w:hint="eastAsia"/>
          <w:lang w:val="en-US" w:eastAsia="zh-CN"/>
        </w:rPr>
        <w:t>劳务分包合同</w:t>
      </w:r>
      <w:r>
        <w:rPr>
          <w:rFonts w:hint="eastAsia"/>
          <w:lang w:eastAsia="zh-CN"/>
        </w:rPr>
        <w:t>》</w:t>
      </w:r>
      <w:r>
        <w:rPr>
          <w:rFonts w:hint="eastAsia"/>
          <w:lang w:val="en-US" w:eastAsia="zh-CN"/>
        </w:rPr>
        <w:t xml:space="preserve">约定工程分包方式及范围为：华骏雅苑所需部分劳务。.....五、安全文明施工约定 2、乙方作业需接受甲方的安排和指挥，遵守安全管理规定，不得违章作业。乙方如因自身原因发生安全事故，应立即报告甲方并自行负责妥善处理，处理安全及其他事故的一切费用及责任由乙方承担。 </w:t>
      </w:r>
    </w:p>
  </w:footnote>
  <w:footnote w:id="3">
    <w:p>
      <w:pPr>
        <w:pStyle w:val="10"/>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_GB2312"/>
          <w:lang w:val="en-US" w:eastAsia="zh-CN"/>
        </w:rPr>
      </w:pPr>
      <w:r>
        <w:rPr>
          <w:rStyle w:val="18"/>
        </w:rPr>
        <w:footnoteRef/>
      </w:r>
      <w:r>
        <w:t xml:space="preserve"> </w:t>
      </w:r>
      <w:r>
        <w:rPr>
          <w:rFonts w:hint="eastAsia"/>
          <w:lang w:val="en-US" w:eastAsia="zh-CN"/>
        </w:rPr>
        <w:t>黄××，男，死者，身份证号码：45012×××××××817，江西德合劳务有限公司工人。</w:t>
      </w:r>
    </w:p>
  </w:footnote>
  <w:footnote w:id="4">
    <w:p>
      <w:pPr>
        <w:pStyle w:val="10"/>
        <w:snapToGrid w:val="0"/>
        <w:rPr>
          <w:rFonts w:hint="default"/>
          <w:lang w:val="en-US" w:eastAsia="zh-CN"/>
        </w:rPr>
      </w:pPr>
      <w:r>
        <w:rPr>
          <w:rStyle w:val="18"/>
        </w:rPr>
        <w:footnoteRef/>
      </w:r>
      <w:r>
        <w:t xml:space="preserve"> </w:t>
      </w:r>
      <w:r>
        <w:rPr>
          <w:rFonts w:hint="eastAsia"/>
          <w:lang w:val="en-US" w:eastAsia="zh-CN"/>
        </w:rPr>
        <w:t>赵××，男，身份证号码：4405×××××××××6415，江西德合劳务有限公司工人。</w:t>
      </w:r>
    </w:p>
  </w:footnote>
  <w:footnote w:id="5">
    <w:p>
      <w:pPr>
        <w:pStyle w:val="10"/>
        <w:snapToGrid w:val="0"/>
        <w:rPr>
          <w:rFonts w:hint="default" w:eastAsia="仿宋_GB2312"/>
          <w:lang w:val="en-US" w:eastAsia="zh-CN"/>
        </w:rPr>
      </w:pPr>
      <w:r>
        <w:rPr>
          <w:rStyle w:val="18"/>
        </w:rPr>
        <w:footnoteRef/>
      </w:r>
      <w:r>
        <w:t xml:space="preserve"> </w:t>
      </w:r>
      <w:r>
        <w:rPr>
          <w:rFonts w:hint="eastAsia"/>
          <w:lang w:val="en-US" w:eastAsia="zh-CN"/>
        </w:rPr>
        <w:t>黄××，男，身份证号码：4501×××××××10，江西德合劳务有限公司工人。</w:t>
      </w:r>
    </w:p>
  </w:footnote>
  <w:footnote w:id="6">
    <w:p>
      <w:pPr>
        <w:pStyle w:val="10"/>
        <w:snapToGrid w:val="0"/>
        <w:rPr>
          <w:rFonts w:hint="default" w:eastAsia="仿宋_GB2312"/>
          <w:lang w:val="en-US" w:eastAsia="zh-CN"/>
        </w:rPr>
      </w:pPr>
      <w:r>
        <w:rPr>
          <w:rStyle w:val="18"/>
        </w:rPr>
        <w:footnoteRef/>
      </w:r>
      <w:r>
        <w:t xml:space="preserve"> </w:t>
      </w:r>
      <w:r>
        <w:rPr>
          <w:rFonts w:hint="eastAsia"/>
          <w:lang w:val="en-US" w:eastAsia="zh-CN"/>
        </w:rPr>
        <w:t>李××，男，身份证号码：4521××××××××1219，江西德合劳务有限公司工人。</w:t>
      </w:r>
    </w:p>
  </w:footnote>
  <w:footnote w:id="7">
    <w:p>
      <w:pPr>
        <w:pStyle w:val="10"/>
        <w:snapToGrid w:val="0"/>
        <w:rPr>
          <w:rFonts w:hint="default" w:eastAsia="仿宋_GB2312"/>
          <w:lang w:val="en-US" w:eastAsia="zh-CN"/>
        </w:rPr>
      </w:pPr>
      <w:r>
        <w:rPr>
          <w:rStyle w:val="18"/>
        </w:rPr>
        <w:footnoteRef/>
      </w:r>
      <w:r>
        <w:t xml:space="preserve"> </w:t>
      </w:r>
      <w:r>
        <w:rPr>
          <w:rFonts w:hint="eastAsia"/>
          <w:lang w:val="en-US" w:eastAsia="zh-CN"/>
        </w:rPr>
        <w:t>黄××，男，身份证号码：4501×××××××××</w:t>
      </w:r>
      <w:bookmarkStart w:id="44" w:name="_GoBack"/>
      <w:bookmarkEnd w:id="44"/>
      <w:r>
        <w:rPr>
          <w:rFonts w:hint="eastAsia"/>
          <w:lang w:val="en-US" w:eastAsia="zh-CN"/>
        </w:rPr>
        <w:t>819，江西德合劳务有限公司现场安全员。</w:t>
      </w:r>
    </w:p>
  </w:footnote>
  <w:footnote w:id="8">
    <w:p>
      <w:pPr>
        <w:pStyle w:val="10"/>
        <w:snapToGrid w:val="0"/>
        <w:rPr>
          <w:rFonts w:hint="eastAsia" w:eastAsia="仿宋_GB2312"/>
          <w:lang w:eastAsia="zh-CN"/>
        </w:rPr>
      </w:pPr>
      <w:r>
        <w:rPr>
          <w:rStyle w:val="18"/>
        </w:rPr>
        <w:footnoteRef/>
      </w:r>
      <w:r>
        <w:t xml:space="preserve"> </w:t>
      </w:r>
      <w:r>
        <w:rPr>
          <w:rFonts w:hint="eastAsia"/>
          <w:lang w:eastAsia="zh-CN"/>
        </w:rPr>
        <w:t>《建设工程安全生产管理条例》第二十八条　施工单位应当在施工现场入口处、施工起重机械、临时用电设施、脚手架、出入通道口、楼梯口、电梯井口、孔洞口、桥梁口、隧道口、基坑边沿、爆破物及有害危险气体和液体存放处等危险部位，设置明显的安全警示标志。安全警示标志必须符合国家标准。</w:t>
      </w:r>
    </w:p>
  </w:footnote>
  <w:footnote w:id="9">
    <w:p>
      <w:pPr>
        <w:pStyle w:val="10"/>
        <w:snapToGrid w:val="0"/>
        <w:rPr>
          <w:rFonts w:hint="default"/>
          <w:lang w:val="en-US"/>
        </w:rPr>
      </w:pPr>
      <w:r>
        <w:rPr>
          <w:rStyle w:val="18"/>
        </w:rPr>
        <w:footnoteRef/>
      </w:r>
      <w:r>
        <w:t xml:space="preserve"> </w:t>
      </w:r>
      <w:r>
        <w:rPr>
          <w:rFonts w:hint="eastAsia"/>
          <w:lang w:eastAsia="zh-CN"/>
        </w:rPr>
        <w:t>《</w:t>
      </w:r>
      <w:r>
        <w:rPr>
          <w:rFonts w:hint="eastAsia"/>
          <w:lang w:val="en-US" w:eastAsia="zh-CN"/>
        </w:rPr>
        <w:t>中华人民共和国建筑法</w:t>
      </w:r>
      <w:r>
        <w:rPr>
          <w:rFonts w:hint="eastAsia"/>
          <w:lang w:eastAsia="zh-CN"/>
        </w:rPr>
        <w:t>》</w:t>
      </w:r>
      <w:r>
        <w:rPr>
          <w:rFonts w:hint="eastAsia"/>
          <w:lang w:val="en-US" w:eastAsia="zh-CN"/>
        </w:rPr>
        <w:t>第四十六条：建筑施工企业应当建立健全劳动安全生产教育培训制度，加强对职工安全生产的教育培训；未经安全生产教育培训的人员，不得上岗作业。</w:t>
      </w:r>
    </w:p>
  </w:footnote>
  <w:footnote w:id="10">
    <w:p>
      <w:pPr>
        <w:pStyle w:val="10"/>
        <w:snapToGrid w:val="0"/>
        <w:rPr>
          <w:rFonts w:hint="default" w:eastAsia="仿宋_GB2312"/>
          <w:lang w:val="en-US" w:eastAsia="zh-CN"/>
        </w:rPr>
      </w:pPr>
      <w:r>
        <w:rPr>
          <w:rStyle w:val="18"/>
        </w:rPr>
        <w:footnoteRef/>
      </w:r>
      <w:r>
        <w:t xml:space="preserve"> </w:t>
      </w:r>
      <w:r>
        <w:rPr>
          <w:rFonts w:hint="eastAsia"/>
          <w:lang w:eastAsia="zh-CN"/>
        </w:rPr>
        <w:t>《建筑施工企业主要负责人、项目负责人和专职安全生产管理人员安全生产管理规定》</w:t>
      </w:r>
      <w:r>
        <w:rPr>
          <w:rFonts w:hint="eastAsia"/>
          <w:lang w:val="en-US" w:eastAsia="zh-CN"/>
        </w:rPr>
        <w:t>第二十二条 建筑施工企业安全生产管理机构和工程项目应当按规定配备相应数量和相关专业的专职安全生产管理人员。危险性较大的分部分项工程施工时，应当安排专职安全生产管理人员现场监督。</w:t>
      </w:r>
    </w:p>
  </w:footnote>
  <w:footnote w:id="11">
    <w:p>
      <w:pPr>
        <w:pStyle w:val="10"/>
        <w:snapToGrid w:val="0"/>
        <w:rPr>
          <w:rFonts w:hint="eastAsia" w:eastAsia="仿宋_GB2312"/>
          <w:lang w:eastAsia="zh-CN"/>
        </w:rPr>
      </w:pPr>
      <w:r>
        <w:rPr>
          <w:rStyle w:val="18"/>
        </w:rPr>
        <w:footnoteRef/>
      </w:r>
      <w:r>
        <w:t xml:space="preserve"> </w:t>
      </w:r>
      <w:r>
        <w:rPr>
          <w:rFonts w:hint="eastAsia"/>
          <w:lang w:eastAsia="zh-CN"/>
        </w:rPr>
        <w:t>《建筑施工企业安全生产管理机构设置及专职安全生产管理人员配备办法》第十二条　项目专职安全生产管理人员具有以下主要职责：（一）负责施工现场安全生产日常检查并做好检查记录；（二）现场监督危险性较大工程安全专项施工方案实施情况；（三）对作业人员违规违章行为有权予以纠正或查处；（四）对施工现场存在的安全隐患有权责令立即整改；（五）对于发现的重大安全隐患，有权向企业安全生产管理机构报告；（六）依法报告生产安全事故情况。</w:t>
      </w:r>
    </w:p>
  </w:footnote>
  <w:footnote w:id="12">
    <w:p>
      <w:pPr>
        <w:pStyle w:val="10"/>
        <w:snapToGrid w:val="0"/>
        <w:rPr>
          <w:rFonts w:hint="default" w:eastAsia="仿宋_GB2312"/>
          <w:lang w:val="en-US" w:eastAsia="zh-CN"/>
        </w:rPr>
      </w:pPr>
      <w:r>
        <w:rPr>
          <w:rStyle w:val="18"/>
        </w:rPr>
        <w:footnoteRef/>
      </w:r>
      <w:r>
        <w:t xml:space="preserve"> </w:t>
      </w:r>
      <w:r>
        <w:rPr>
          <w:rFonts w:hint="eastAsia"/>
          <w:lang w:eastAsia="zh-CN"/>
        </w:rPr>
        <w:t>《</w:t>
      </w:r>
      <w:r>
        <w:rPr>
          <w:rFonts w:hint="eastAsia"/>
          <w:lang w:val="en-US" w:eastAsia="zh-CN"/>
        </w:rPr>
        <w:t>建设工程安全生产管理条例</w:t>
      </w:r>
      <w:r>
        <w:rPr>
          <w:rFonts w:hint="eastAsia"/>
          <w:lang w:eastAsia="zh-CN"/>
        </w:rPr>
        <w:t>》</w:t>
      </w:r>
      <w:r>
        <w:rPr>
          <w:rFonts w:hint="eastAsia"/>
          <w:lang w:val="en-US" w:eastAsia="zh-CN"/>
        </w:rPr>
        <w:t>第二十一条 施工单位主要负责人依法对本单位的安全生产工作全面负责。施工单位应当建立健全安全生产责任制度和安全生产教育培训制度，制定安全生产规章制度和操作规程，保证本单位安全生产条件所需资金的投入，对所承担的建设工程进行定期和专项安全检查，并做好安全检查记录。......</w:t>
      </w:r>
    </w:p>
  </w:footnote>
  <w:footnote w:id="13">
    <w:p>
      <w:pPr>
        <w:pStyle w:val="10"/>
        <w:snapToGrid w:val="0"/>
        <w:rPr>
          <w:rFonts w:hint="eastAsia"/>
        </w:rPr>
      </w:pPr>
      <w:r>
        <w:rPr>
          <w:rStyle w:val="18"/>
        </w:rPr>
        <w:footnoteRef/>
      </w:r>
      <w:r>
        <w:t xml:space="preserve"> </w:t>
      </w:r>
      <w:r>
        <w:rPr>
          <w:rFonts w:hint="eastAsia"/>
          <w:lang w:eastAsia="zh-CN"/>
        </w:rPr>
        <w:t>《</w:t>
      </w:r>
      <w:r>
        <w:rPr>
          <w:rFonts w:hint="eastAsia"/>
          <w:lang w:val="en-US" w:eastAsia="zh-CN"/>
        </w:rPr>
        <w:t>中华人民共和国安全生产法</w:t>
      </w:r>
      <w:r>
        <w:rPr>
          <w:rFonts w:hint="eastAsia"/>
          <w:lang w:eastAsia="zh-CN"/>
        </w:rPr>
        <w:t>》</w:t>
      </w:r>
      <w:r>
        <w:rPr>
          <w:rFonts w:hint="eastAsia"/>
        </w:rPr>
        <w:t>第一百一十四条　发生生产安全事故，对负有责任的生产经营单位除要求其依法承担相应的赔偿等责任外，由应急管理部门依照下列规定处以罚款:</w:t>
      </w:r>
    </w:p>
    <w:p>
      <w:pPr>
        <w:pStyle w:val="10"/>
        <w:snapToGrid w:val="0"/>
        <w:rPr>
          <w:rFonts w:hint="default" w:eastAsia="仿宋_GB2312"/>
          <w:lang w:val="en-US" w:eastAsia="zh-CN"/>
        </w:rPr>
      </w:pPr>
      <w:r>
        <w:rPr>
          <w:rFonts w:hint="eastAsia"/>
        </w:rPr>
        <w:t>（一）发生一般事故的，处三十万元以上一百万元以下的罚款；</w:t>
      </w:r>
      <w:r>
        <w:rPr>
          <w:rFonts w:hint="eastAsia"/>
          <w:lang w:val="en-US" w:eastAsia="zh-CN"/>
        </w:rPr>
        <w:t>......</w:t>
      </w:r>
    </w:p>
  </w:footnote>
  <w:footnote w:id="14">
    <w:p>
      <w:pPr>
        <w:pStyle w:val="10"/>
        <w:snapToGrid w:val="0"/>
      </w:pPr>
      <w:r>
        <w:rPr>
          <w:rStyle w:val="18"/>
        </w:rPr>
        <w:footnoteRef/>
      </w:r>
      <w:r>
        <w:t xml:space="preserve"> </w:t>
      </w:r>
      <w:r>
        <w:rPr>
          <w:rFonts w:hint="eastAsia"/>
          <w:lang w:eastAsia="zh-CN"/>
        </w:rPr>
        <w:t>《</w:t>
      </w:r>
      <w:r>
        <w:rPr>
          <w:rFonts w:hint="eastAsia"/>
          <w:lang w:val="en-US" w:eastAsia="zh-CN"/>
        </w:rPr>
        <w:t>中华人民共和国安全生产法</w:t>
      </w:r>
      <w:r>
        <w:rPr>
          <w:rFonts w:hint="eastAsia"/>
          <w:lang w:eastAsia="zh-CN"/>
        </w:rPr>
        <w:t>》</w:t>
      </w:r>
      <w:r>
        <w:rPr>
          <w:rFonts w:hint="eastAsia"/>
        </w:rPr>
        <w:t>第一百零七条　生产经营单位的从业人员不落实岗位安全责任，不服从管理，违反安全生产规章制度或者操作规程的，由生产经营单位给予批评教育，依照有关规章制度给予处分；</w:t>
      </w:r>
      <w:r>
        <w:rPr>
          <w:rFonts w:hint="eastAsia"/>
          <w:lang w:val="en-US" w:eastAsia="zh-CN"/>
        </w:rPr>
        <w:t>......</w:t>
      </w:r>
      <w:r>
        <w:rPr>
          <w:rFonts w:hint="eastAsia"/>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30"/>
    <w:footnote w:id="3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2NjMzA1MTllNjU2NDBmMjJlNzY3N2ZmZGRiMWUifQ=="/>
  </w:docVars>
  <w:rsids>
    <w:rsidRoot w:val="26366A3A"/>
    <w:rsid w:val="00346C7C"/>
    <w:rsid w:val="0039177E"/>
    <w:rsid w:val="00434D61"/>
    <w:rsid w:val="017A1BE8"/>
    <w:rsid w:val="019F2658"/>
    <w:rsid w:val="01E02324"/>
    <w:rsid w:val="02787750"/>
    <w:rsid w:val="02F554FD"/>
    <w:rsid w:val="02F733E0"/>
    <w:rsid w:val="03647119"/>
    <w:rsid w:val="038B6F53"/>
    <w:rsid w:val="04170A11"/>
    <w:rsid w:val="044154DA"/>
    <w:rsid w:val="055B3806"/>
    <w:rsid w:val="062750EB"/>
    <w:rsid w:val="064B7FBA"/>
    <w:rsid w:val="074747D2"/>
    <w:rsid w:val="08EF4043"/>
    <w:rsid w:val="0910591F"/>
    <w:rsid w:val="0ABA5BFD"/>
    <w:rsid w:val="0B117C24"/>
    <w:rsid w:val="0B7C08CE"/>
    <w:rsid w:val="0B873580"/>
    <w:rsid w:val="0BD82C0C"/>
    <w:rsid w:val="0C790EAD"/>
    <w:rsid w:val="0CAF04A9"/>
    <w:rsid w:val="0CE414A7"/>
    <w:rsid w:val="0D2B3D74"/>
    <w:rsid w:val="0D4A2BD4"/>
    <w:rsid w:val="0E5016ED"/>
    <w:rsid w:val="0E5438F3"/>
    <w:rsid w:val="0FF02D9D"/>
    <w:rsid w:val="104F0DC1"/>
    <w:rsid w:val="10AA7593"/>
    <w:rsid w:val="111E5AD1"/>
    <w:rsid w:val="1211524D"/>
    <w:rsid w:val="128A5C91"/>
    <w:rsid w:val="129A4FC7"/>
    <w:rsid w:val="131905E4"/>
    <w:rsid w:val="136311B8"/>
    <w:rsid w:val="14341AC4"/>
    <w:rsid w:val="143869F2"/>
    <w:rsid w:val="147A7784"/>
    <w:rsid w:val="14F15E1C"/>
    <w:rsid w:val="150A02F4"/>
    <w:rsid w:val="16690ECE"/>
    <w:rsid w:val="16AE40DF"/>
    <w:rsid w:val="16D8011B"/>
    <w:rsid w:val="176A19F6"/>
    <w:rsid w:val="177C4C78"/>
    <w:rsid w:val="18B873E0"/>
    <w:rsid w:val="19D3353A"/>
    <w:rsid w:val="19DE0C87"/>
    <w:rsid w:val="1B9704B3"/>
    <w:rsid w:val="1D5410DB"/>
    <w:rsid w:val="1E62755C"/>
    <w:rsid w:val="1E8D5200"/>
    <w:rsid w:val="1EB26790"/>
    <w:rsid w:val="1F320430"/>
    <w:rsid w:val="1F3C635F"/>
    <w:rsid w:val="20027024"/>
    <w:rsid w:val="206939FD"/>
    <w:rsid w:val="20796BEA"/>
    <w:rsid w:val="20950B98"/>
    <w:rsid w:val="20AF53A2"/>
    <w:rsid w:val="230B0E8C"/>
    <w:rsid w:val="24556D8E"/>
    <w:rsid w:val="24D95EB7"/>
    <w:rsid w:val="26366A3A"/>
    <w:rsid w:val="26526D9B"/>
    <w:rsid w:val="28855795"/>
    <w:rsid w:val="289E3D30"/>
    <w:rsid w:val="28EA7A76"/>
    <w:rsid w:val="29D77071"/>
    <w:rsid w:val="2A7A6B9A"/>
    <w:rsid w:val="2CD25910"/>
    <w:rsid w:val="2D762C75"/>
    <w:rsid w:val="2DB17DE3"/>
    <w:rsid w:val="2DD05EF2"/>
    <w:rsid w:val="2DF97E06"/>
    <w:rsid w:val="2DFC6812"/>
    <w:rsid w:val="2EFE5197"/>
    <w:rsid w:val="2F0148BD"/>
    <w:rsid w:val="2F022143"/>
    <w:rsid w:val="2F634AF8"/>
    <w:rsid w:val="300D39BD"/>
    <w:rsid w:val="303A48F1"/>
    <w:rsid w:val="309D0AE2"/>
    <w:rsid w:val="30E927B5"/>
    <w:rsid w:val="3194611D"/>
    <w:rsid w:val="323F6747"/>
    <w:rsid w:val="329C1A37"/>
    <w:rsid w:val="32D14858"/>
    <w:rsid w:val="32DD31FD"/>
    <w:rsid w:val="33681C72"/>
    <w:rsid w:val="33DE13C8"/>
    <w:rsid w:val="346D0705"/>
    <w:rsid w:val="34AA3E75"/>
    <w:rsid w:val="351E0C16"/>
    <w:rsid w:val="35B72868"/>
    <w:rsid w:val="360A23E6"/>
    <w:rsid w:val="3618187B"/>
    <w:rsid w:val="36E2221C"/>
    <w:rsid w:val="3827427C"/>
    <w:rsid w:val="39035236"/>
    <w:rsid w:val="3952378D"/>
    <w:rsid w:val="3A944134"/>
    <w:rsid w:val="3B2A0F36"/>
    <w:rsid w:val="3B7F2EA4"/>
    <w:rsid w:val="3BAE1BDB"/>
    <w:rsid w:val="3BE760CC"/>
    <w:rsid w:val="3D8D6A12"/>
    <w:rsid w:val="3EDB7AEF"/>
    <w:rsid w:val="3FF27CBD"/>
    <w:rsid w:val="40141A13"/>
    <w:rsid w:val="403935C0"/>
    <w:rsid w:val="41664239"/>
    <w:rsid w:val="426042E3"/>
    <w:rsid w:val="428864E3"/>
    <w:rsid w:val="4330735F"/>
    <w:rsid w:val="44844168"/>
    <w:rsid w:val="44FF7003"/>
    <w:rsid w:val="453360FB"/>
    <w:rsid w:val="46055B0B"/>
    <w:rsid w:val="466E4804"/>
    <w:rsid w:val="480158A8"/>
    <w:rsid w:val="48296A61"/>
    <w:rsid w:val="4878063D"/>
    <w:rsid w:val="49DD1384"/>
    <w:rsid w:val="4AE60F06"/>
    <w:rsid w:val="4BAF7082"/>
    <w:rsid w:val="4BC33BDB"/>
    <w:rsid w:val="4CE629A2"/>
    <w:rsid w:val="4D2E17C0"/>
    <w:rsid w:val="4D4D068E"/>
    <w:rsid w:val="4DB82445"/>
    <w:rsid w:val="4FAE58AE"/>
    <w:rsid w:val="50F3143F"/>
    <w:rsid w:val="51BC6433"/>
    <w:rsid w:val="52122152"/>
    <w:rsid w:val="52CE2B91"/>
    <w:rsid w:val="52F608EB"/>
    <w:rsid w:val="53104BB6"/>
    <w:rsid w:val="534464ED"/>
    <w:rsid w:val="53626C07"/>
    <w:rsid w:val="54235568"/>
    <w:rsid w:val="543975BB"/>
    <w:rsid w:val="54E07AD6"/>
    <w:rsid w:val="55570796"/>
    <w:rsid w:val="55761015"/>
    <w:rsid w:val="561A5576"/>
    <w:rsid w:val="56DB417D"/>
    <w:rsid w:val="5787495C"/>
    <w:rsid w:val="587C61ED"/>
    <w:rsid w:val="58CA0E5B"/>
    <w:rsid w:val="59964BE5"/>
    <w:rsid w:val="5BD766F8"/>
    <w:rsid w:val="5C0977CA"/>
    <w:rsid w:val="5C392CAA"/>
    <w:rsid w:val="5D537DEE"/>
    <w:rsid w:val="5E4C01DD"/>
    <w:rsid w:val="5EEB0899"/>
    <w:rsid w:val="5F636A6E"/>
    <w:rsid w:val="5F780798"/>
    <w:rsid w:val="5FA900D9"/>
    <w:rsid w:val="6013079D"/>
    <w:rsid w:val="624F32BA"/>
    <w:rsid w:val="625D4DEF"/>
    <w:rsid w:val="64A664B3"/>
    <w:rsid w:val="660F10AD"/>
    <w:rsid w:val="662841B4"/>
    <w:rsid w:val="66A979A9"/>
    <w:rsid w:val="67D01035"/>
    <w:rsid w:val="6ACE64EC"/>
    <w:rsid w:val="6AF17923"/>
    <w:rsid w:val="6AF763A5"/>
    <w:rsid w:val="6BCE4EB6"/>
    <w:rsid w:val="6C707015"/>
    <w:rsid w:val="6C9E2B46"/>
    <w:rsid w:val="6CAF788A"/>
    <w:rsid w:val="6CED7FD6"/>
    <w:rsid w:val="6E08187C"/>
    <w:rsid w:val="6E5E350B"/>
    <w:rsid w:val="6F101365"/>
    <w:rsid w:val="6F684CB0"/>
    <w:rsid w:val="706F554A"/>
    <w:rsid w:val="708A25BF"/>
    <w:rsid w:val="70AA4E06"/>
    <w:rsid w:val="712D2E94"/>
    <w:rsid w:val="71B479B2"/>
    <w:rsid w:val="721E665D"/>
    <w:rsid w:val="72833476"/>
    <w:rsid w:val="72A7224A"/>
    <w:rsid w:val="742B5CAC"/>
    <w:rsid w:val="754B1EBB"/>
    <w:rsid w:val="75616D9B"/>
    <w:rsid w:val="75A05F5A"/>
    <w:rsid w:val="75AC464F"/>
    <w:rsid w:val="75D50024"/>
    <w:rsid w:val="76AB13FC"/>
    <w:rsid w:val="77995896"/>
    <w:rsid w:val="77AD1B7A"/>
    <w:rsid w:val="77B2565D"/>
    <w:rsid w:val="786F0330"/>
    <w:rsid w:val="78746628"/>
    <w:rsid w:val="78914F38"/>
    <w:rsid w:val="789D1565"/>
    <w:rsid w:val="791D7166"/>
    <w:rsid w:val="796F0F99"/>
    <w:rsid w:val="7A854B7F"/>
    <w:rsid w:val="7AA87A56"/>
    <w:rsid w:val="7B4C24A5"/>
    <w:rsid w:val="7B6F3BBB"/>
    <w:rsid w:val="7B7A0C62"/>
    <w:rsid w:val="7BD227A0"/>
    <w:rsid w:val="7DC9515A"/>
    <w:rsid w:val="7E100E39"/>
    <w:rsid w:val="7E1F24A3"/>
    <w:rsid w:val="F97D6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80" w:firstLineChars="200"/>
      <w:jc w:val="both"/>
    </w:pPr>
    <w:rPr>
      <w:rFonts w:ascii="仿宋_GB2312" w:hAnsi="仿宋_GB2312" w:eastAsia="仿宋_GB2312" w:cstheme="minorBidi"/>
      <w:kern w:val="2"/>
      <w:sz w:val="32"/>
      <w:szCs w:val="24"/>
      <w:lang w:val="en-US" w:eastAsia="zh-CN" w:bidi="ar-SA"/>
    </w:rPr>
  </w:style>
  <w:style w:type="paragraph" w:styleId="3">
    <w:name w:val="heading 1"/>
    <w:basedOn w:val="1"/>
    <w:next w:val="1"/>
    <w:link w:val="24"/>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4">
    <w:name w:val="heading 2"/>
    <w:basedOn w:val="1"/>
    <w:next w:val="1"/>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link w:val="19"/>
    <w:unhideWhenUsed/>
    <w:qFormat/>
    <w:uiPriority w:val="0"/>
    <w:pPr>
      <w:keepNext/>
      <w:keepLines/>
      <w:spacing w:beforeLines="0" w:beforeAutospacing="0" w:afterLines="0" w:afterAutospacing="0" w:line="413" w:lineRule="auto"/>
      <w:outlineLvl w:val="2"/>
    </w:pPr>
    <w:rPr>
      <w:b/>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Plain Text"/>
    <w:basedOn w:val="1"/>
    <w:unhideWhenUsed/>
    <w:qFormat/>
    <w:uiPriority w:val="99"/>
    <w:rPr>
      <w:rFonts w:ascii="宋体" w:hAnsi="Courier New" w:eastAsia="宋体" w:cs="Courier New"/>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footnote text"/>
    <w:basedOn w:val="1"/>
    <w:qFormat/>
    <w:uiPriority w:val="0"/>
    <w:pPr>
      <w:snapToGrid w:val="0"/>
      <w:spacing w:line="240" w:lineRule="auto"/>
      <w:jc w:val="left"/>
    </w:pPr>
    <w:rPr>
      <w:sz w:val="18"/>
      <w:szCs w:val="18"/>
    </w:rPr>
  </w:style>
  <w:style w:type="paragraph" w:styleId="11">
    <w:name w:val="toc 2"/>
    <w:basedOn w:val="1"/>
    <w:next w:val="1"/>
    <w:qFormat/>
    <w:uiPriority w:val="0"/>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rPr>
  </w:style>
  <w:style w:type="character" w:styleId="16">
    <w:name w:val="page number"/>
    <w:basedOn w:val="14"/>
    <w:qFormat/>
    <w:uiPriority w:val="0"/>
  </w:style>
  <w:style w:type="character" w:styleId="17">
    <w:name w:val="Emphasis"/>
    <w:basedOn w:val="14"/>
    <w:qFormat/>
    <w:uiPriority w:val="0"/>
    <w:rPr>
      <w:i/>
    </w:rPr>
  </w:style>
  <w:style w:type="character" w:styleId="18">
    <w:name w:val="footnote reference"/>
    <w:basedOn w:val="14"/>
    <w:qFormat/>
    <w:uiPriority w:val="0"/>
    <w:rPr>
      <w:vertAlign w:val="superscript"/>
    </w:rPr>
  </w:style>
  <w:style w:type="character" w:customStyle="1" w:styleId="19">
    <w:name w:val="标题 3 Char"/>
    <w:link w:val="5"/>
    <w:qFormat/>
    <w:uiPriority w:val="0"/>
    <w:rPr>
      <w:rFonts w:eastAsia="仿宋_GB2312"/>
      <w:b/>
    </w:rPr>
  </w:style>
  <w:style w:type="character" w:customStyle="1" w:styleId="20">
    <w:name w:val="10"/>
    <w:basedOn w:val="14"/>
    <w:qFormat/>
    <w:uiPriority w:val="0"/>
    <w:rPr>
      <w:rFonts w:hint="default" w:ascii="Times New Roman" w:hAnsi="Times New Roman" w:cs="Times New Roman"/>
    </w:rPr>
  </w:style>
  <w:style w:type="character" w:customStyle="1" w:styleId="21">
    <w:name w:val="15"/>
    <w:basedOn w:val="14"/>
    <w:qFormat/>
    <w:uiPriority w:val="0"/>
    <w:rPr>
      <w:rFonts w:hint="default" w:ascii="Times New Roman" w:hAnsi="Times New Roman" w:cs="Times New Roman"/>
    </w:rPr>
  </w:style>
  <w:style w:type="paragraph" w:customStyle="1" w:styleId="22">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23">
    <w:name w:val="s1"/>
    <w:basedOn w:val="14"/>
    <w:qFormat/>
    <w:uiPriority w:val="0"/>
  </w:style>
  <w:style w:type="character" w:customStyle="1" w:styleId="24">
    <w:name w:val="标题 1 Char"/>
    <w:link w:val="3"/>
    <w:qFormat/>
    <w:uiPriority w:val="0"/>
    <w:rPr>
      <w:rFonts w:ascii="Times New Roman" w:hAnsi="Times New Roman" w:eastAsia="黑体"/>
      <w:kern w:val="44"/>
    </w:rPr>
  </w:style>
  <w:style w:type="paragraph" w:customStyle="1" w:styleId="25">
    <w:name w:val="WPSOffice手动目录 1"/>
    <w:qFormat/>
    <w:uiPriority w:val="0"/>
    <w:pPr>
      <w:ind w:leftChars="0"/>
    </w:pPr>
    <w:rPr>
      <w:rFonts w:ascii="Times New Roman" w:hAnsi="Times New Roman" w:eastAsia="宋体" w:cs="Times New Roman"/>
      <w:sz w:val="20"/>
      <w:szCs w:val="20"/>
    </w:rPr>
  </w:style>
  <w:style w:type="paragraph" w:customStyle="1" w:styleId="26">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6029</Words>
  <Characters>6332</Characters>
  <Lines>1</Lines>
  <Paragraphs>1</Paragraphs>
  <TotalTime>7</TotalTime>
  <ScaleCrop>false</ScaleCrop>
  <LinksUpToDate>false</LinksUpToDate>
  <CharactersWithSpaces>6566</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2021-08-06T09:46:00Z</dcterms:created>
  <dc:creator>admin</dc:creator>
  <cp:lastModifiedBy>abc</cp:lastModifiedBy>
  <cp:lastPrinted>2023-05-24T17:11:00Z</cp:lastPrinted>
  <dcterms:modified xsi:type="dcterms:W3CDTF">2024-02-04T10:45:43Z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8464322B296B476C8BDF1EF163AF73AA</vt:lpwstr>
  </property>
</Properties>
</file>