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85A" w:rsidRDefault="0055185A">
      <w:pPr>
        <w:spacing w:line="360" w:lineRule="auto"/>
        <w:ind w:left="358"/>
        <w:jc w:val="center"/>
        <w:rPr>
          <w:rFonts w:eastAsia="仿宋_GB2312"/>
          <w:b/>
          <w:bCs/>
          <w:sz w:val="48"/>
          <w:szCs w:val="48"/>
        </w:rPr>
      </w:pPr>
      <w:bookmarkStart w:id="0" w:name="_Hlk72843735"/>
    </w:p>
    <w:p w:rsidR="0055185A" w:rsidRDefault="00C267A5">
      <w:pPr>
        <w:spacing w:line="360" w:lineRule="auto"/>
        <w:ind w:left="358"/>
        <w:jc w:val="center"/>
        <w:rPr>
          <w:rFonts w:eastAsia="仿宋_GB2312"/>
          <w:b/>
          <w:bCs/>
          <w:sz w:val="48"/>
          <w:szCs w:val="48"/>
        </w:rPr>
      </w:pPr>
      <w:r>
        <w:rPr>
          <w:rFonts w:eastAsia="仿宋_GB2312"/>
          <w:b/>
          <w:bCs/>
          <w:sz w:val="48"/>
          <w:szCs w:val="48"/>
        </w:rPr>
        <w:t>揭阳市普宁市</w:t>
      </w:r>
      <w:r>
        <w:rPr>
          <w:rFonts w:eastAsia="仿宋_GB2312"/>
          <w:b/>
          <w:bCs/>
          <w:sz w:val="48"/>
          <w:szCs w:val="48"/>
        </w:rPr>
        <w:t>2022</w:t>
      </w:r>
      <w:r>
        <w:rPr>
          <w:rFonts w:eastAsia="仿宋_GB2312"/>
          <w:b/>
          <w:bCs/>
          <w:sz w:val="48"/>
          <w:szCs w:val="48"/>
        </w:rPr>
        <w:t>年度土地征收成片</w:t>
      </w:r>
    </w:p>
    <w:p w:rsidR="0055185A" w:rsidRDefault="00C267A5">
      <w:pPr>
        <w:spacing w:line="360" w:lineRule="auto"/>
        <w:ind w:left="358"/>
        <w:jc w:val="center"/>
        <w:rPr>
          <w:rFonts w:eastAsia="仿宋_GB2312"/>
          <w:b/>
          <w:bCs/>
          <w:sz w:val="44"/>
          <w:szCs w:val="44"/>
        </w:rPr>
      </w:pPr>
      <w:r>
        <w:rPr>
          <w:rFonts w:eastAsia="仿宋_GB2312"/>
          <w:b/>
          <w:bCs/>
          <w:sz w:val="48"/>
          <w:szCs w:val="48"/>
        </w:rPr>
        <w:t>开发方案</w:t>
      </w:r>
      <w:bookmarkEnd w:id="0"/>
      <w:r w:rsidR="001B45D9">
        <w:rPr>
          <w:rFonts w:eastAsia="仿宋_GB2312" w:hint="eastAsia"/>
          <w:b/>
          <w:bCs/>
          <w:sz w:val="48"/>
          <w:szCs w:val="48"/>
        </w:rPr>
        <w:t>（公示草稿）</w:t>
      </w:r>
    </w:p>
    <w:p w:rsidR="0055185A" w:rsidRDefault="0055185A">
      <w:pPr>
        <w:pStyle w:val="aa"/>
        <w:spacing w:line="360" w:lineRule="auto"/>
        <w:ind w:left="810" w:firstLineChars="0" w:firstLine="0"/>
        <w:rPr>
          <w:rStyle w:val="fontstyle01"/>
          <w:rFonts w:ascii="Times New Roman"/>
          <w:b/>
          <w:bCs/>
          <w:sz w:val="36"/>
          <w:szCs w:val="36"/>
        </w:rPr>
      </w:pPr>
    </w:p>
    <w:p w:rsidR="0055185A" w:rsidRPr="00C267A5" w:rsidRDefault="00C267A5">
      <w:pPr>
        <w:pStyle w:val="aa"/>
        <w:numPr>
          <w:ilvl w:val="0"/>
          <w:numId w:val="1"/>
        </w:numPr>
        <w:spacing w:line="360" w:lineRule="auto"/>
        <w:ind w:firstLineChars="0"/>
        <w:rPr>
          <w:rFonts w:ascii="方正仿宋简体" w:eastAsia="方正仿宋简体" w:hint="eastAsia"/>
          <w:b/>
          <w:bCs/>
          <w:color w:val="000000"/>
          <w:sz w:val="36"/>
          <w:szCs w:val="36"/>
        </w:rPr>
      </w:pPr>
      <w:r w:rsidRPr="00C267A5">
        <w:rPr>
          <w:rStyle w:val="fontstyle01"/>
          <w:rFonts w:ascii="方正仿宋简体" w:eastAsia="方正仿宋简体" w:hint="eastAsia"/>
          <w:b/>
          <w:bCs/>
          <w:sz w:val="36"/>
          <w:szCs w:val="36"/>
        </w:rPr>
        <w:t>编制依据</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依据《中华人民共和国土地管理法》（2019年修正）《土地征收成片开发标准（试行）》（自然资规〔2020〕5号）《广东省自然资源厅关于规范土地征收成片开发工作的通知》（粤自然资发〔2021〕20号）等相关文件，编制《揭阳市普宁市2022年度土地征收成片开发方案》</w:t>
      </w:r>
      <w:r w:rsidRPr="00C267A5">
        <w:rPr>
          <w:rFonts w:ascii="方正仿宋简体" w:eastAsia="方正仿宋简体" w:hint="eastAsia"/>
          <w:sz w:val="28"/>
          <w:szCs w:val="28"/>
        </w:rPr>
        <w:t>（以下简称“本方案”）</w:t>
      </w:r>
      <w:r w:rsidRPr="00C267A5">
        <w:rPr>
          <w:rStyle w:val="fontstyle01"/>
          <w:rFonts w:ascii="方正仿宋简体" w:eastAsia="方正仿宋简体" w:hint="eastAsia"/>
          <w:sz w:val="28"/>
          <w:szCs w:val="28"/>
        </w:rPr>
        <w:t>。</w:t>
      </w:r>
    </w:p>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t>基本情况</w:t>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（一）成片开发范围基本情况</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本方案拟实行土地征收成片开发范围总面积129.8546公顷，其中拟征收范围面积91.6608公顷，征地面积占成片开发总面积的70.59%。成片开发范围共包含20个片区，具体如下表所示：</w:t>
      </w:r>
    </w:p>
    <w:p w:rsidR="0055185A" w:rsidRPr="00C267A5" w:rsidRDefault="00C267A5">
      <w:pPr>
        <w:spacing w:line="360" w:lineRule="auto"/>
        <w:jc w:val="center"/>
        <w:rPr>
          <w:rFonts w:ascii="方正仿宋简体" w:eastAsia="方正仿宋简体" w:hint="eastAsia"/>
          <w:b/>
          <w:sz w:val="24"/>
        </w:rPr>
      </w:pPr>
      <w:r w:rsidRPr="00C267A5">
        <w:rPr>
          <w:rFonts w:ascii="方正仿宋简体" w:eastAsia="方正仿宋简体" w:hint="eastAsia"/>
          <w:b/>
          <w:sz w:val="24"/>
        </w:rPr>
        <w:t>表2-1成片开发范围详细信息一览表</w:t>
      </w:r>
    </w:p>
    <w:p w:rsidR="0055185A" w:rsidRPr="00C267A5" w:rsidRDefault="00C267A5">
      <w:pPr>
        <w:spacing w:line="360" w:lineRule="auto"/>
        <w:ind w:firstLineChars="200" w:firstLine="480"/>
        <w:jc w:val="right"/>
        <w:rPr>
          <w:rFonts w:ascii="方正仿宋简体" w:eastAsia="方正仿宋简体" w:hint="eastAsia"/>
          <w:sz w:val="30"/>
          <w:szCs w:val="30"/>
        </w:rPr>
      </w:pPr>
      <w:r w:rsidRPr="00C267A5">
        <w:rPr>
          <w:rFonts w:ascii="方正仿宋简体" w:eastAsia="方正仿宋简体" w:hint="eastAsia"/>
          <w:sz w:val="24"/>
        </w:rPr>
        <w:t>单位：公顷</w:t>
      </w:r>
    </w:p>
    <w:tbl>
      <w:tblPr>
        <w:tblW w:w="6053" w:type="pct"/>
        <w:jc w:val="center"/>
        <w:tblLayout w:type="fixed"/>
        <w:tblLook w:val="04A0"/>
      </w:tblPr>
      <w:tblGrid>
        <w:gridCol w:w="2038"/>
        <w:gridCol w:w="1008"/>
        <w:gridCol w:w="1248"/>
        <w:gridCol w:w="2602"/>
        <w:gridCol w:w="1106"/>
        <w:gridCol w:w="1329"/>
        <w:gridCol w:w="986"/>
      </w:tblGrid>
      <w:tr w:rsidR="0055185A" w:rsidRPr="00C267A5">
        <w:trPr>
          <w:trHeight w:val="290"/>
          <w:tblHeader/>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项目片区名称</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片区</w:t>
            </w:r>
          </w:p>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面积</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片区符合规划情况</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征地地块名称</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征地面积</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征地地块符合规划情况</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征地面积占比</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北部农旅协同片区</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1.6574</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赤岗镇双枝山村村宅用地</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1.0683</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64.46%</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东部城乡融合片区</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7.212</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普宁市粮食应急加工厂</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3.9999</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55.46%</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广东普宁产业转移工业园片区-01</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7.0143</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中茵商服用地</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3.9968</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56.98%</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广东普宁产业转移工业园片区-02</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12.9165</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江南果蔬市场</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8.0881</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62.62%</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广东普宁产业转移工业园片区-03</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1.146</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冷链仓储物流中心建设项目（地块-01）</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1.146</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100%</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lastRenderedPageBreak/>
              <w:t>广东普宁产业转移工业园片区-04</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7.4381</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冷链仓储物流中心建设项目（地块-02）</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5.6423</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75.86%</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广东普宁产业转移工业园片区-05</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20.9635</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广东普宁产业转移工业园（普宁市2020年度第三批次城镇建设用地地块-01）</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15.2325</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72.66%</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广东普宁产业转移工业园片区-06</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6.0194</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广东普宁产业转移工业园（普宁市2020年度第三批次城镇建设用地地块-02）</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4.1607</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69.12%</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广东普宁产业转移工业园片区-07</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1.0817</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广东普宁产业转移工业园（普宁市2020年度第三批次城镇建设用地地块-03）</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 w:val="22"/>
                <w:szCs w:val="22"/>
              </w:rPr>
            </w:pPr>
            <w:r w:rsidRPr="00C267A5">
              <w:rPr>
                <w:rFonts w:ascii="方正仿宋简体" w:eastAsia="方正仿宋简体" w:hint="eastAsia"/>
                <w:color w:val="000000"/>
                <w:kern w:val="0"/>
                <w:sz w:val="22"/>
                <w:szCs w:val="22"/>
                <w:lang/>
              </w:rPr>
              <w:t>0.6924</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64.01%</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洪阳产镇联动片区</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2.9284</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洪阳镇和安村住宅用地</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1.701</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58.09%</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老城片区-01</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17.05</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上塘片区住宅用地</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13.3276</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78.17%</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老城片区-02</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0.9397</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香员坑村奔驰4s店（普宁市2020年度第二批次城镇建设用地地块-02）</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 w:val="22"/>
                <w:szCs w:val="22"/>
              </w:rPr>
            </w:pPr>
            <w:r w:rsidRPr="00C267A5">
              <w:rPr>
                <w:rFonts w:ascii="方正仿宋简体" w:eastAsia="方正仿宋简体" w:hint="eastAsia"/>
                <w:color w:val="000000"/>
                <w:kern w:val="0"/>
                <w:sz w:val="22"/>
                <w:szCs w:val="22"/>
                <w:lang/>
              </w:rPr>
              <w:t>0.4799</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51.07%</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老城片区-03</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3.9945</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香员坑村住宅用地</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2.3719</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59.38%</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里湖产贸联动片区</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6.8698</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里湖镇原果子厂片区住宅用地</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4.6672</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67.94%</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西部生态优化片区-01</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6.9356</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利泰产业用地</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4.8251</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69.57%</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西部生态优化片区-02</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5.3855</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纯晶玻璃厂住宅用地（普宁市2020年度第二批次城镇建设用地地块-01）</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3.1727</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58.91%</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西部生态优化片区-03</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1.7799</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永光矿泉水厂（普宁市2020年度第二批次城镇建设用地地块-03）</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1.0673</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59.96%</w:t>
            </w:r>
          </w:p>
        </w:tc>
      </w:tr>
      <w:tr w:rsidR="0055185A" w:rsidRPr="00C267A5">
        <w:trPr>
          <w:trHeight w:val="32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西部生态优化片区-04</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3.4664</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飞灰应急处理工程</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2.039</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58.82%</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占陇镇园联动片区-01</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13.9645</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符合土规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纺织印染环保综合处理中心起步区（地块-01）</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13.3491</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符合土规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95.59%</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占陇镇园联动片区-02</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1.0914</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纺织印染环保综合处理中心起步区和远达印染（地块-02）</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0.633</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符合城规</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58.00%</w:t>
            </w:r>
          </w:p>
        </w:tc>
      </w:tr>
      <w:tr w:rsidR="0055185A" w:rsidRPr="00C267A5">
        <w:trPr>
          <w:trHeight w:val="290"/>
          <w:jc w:val="center"/>
        </w:trPr>
        <w:tc>
          <w:tcPr>
            <w:tcW w:w="9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c>
          <w:tcPr>
            <w:tcW w:w="48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129.8546</w:t>
            </w:r>
          </w:p>
        </w:tc>
        <w:tc>
          <w:tcPr>
            <w:tcW w:w="60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c>
          <w:tcPr>
            <w:tcW w:w="12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c>
          <w:tcPr>
            <w:tcW w:w="53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91.6608</w:t>
            </w:r>
          </w:p>
        </w:tc>
        <w:tc>
          <w:tcPr>
            <w:tcW w:w="64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c>
          <w:tcPr>
            <w:tcW w:w="4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righ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70.59%</w:t>
            </w:r>
          </w:p>
        </w:tc>
      </w:tr>
    </w:tbl>
    <w:p w:rsidR="0055185A" w:rsidRPr="00C267A5" w:rsidRDefault="0055185A">
      <w:pPr>
        <w:spacing w:line="360" w:lineRule="auto"/>
        <w:jc w:val="right"/>
        <w:rPr>
          <w:rFonts w:ascii="方正仿宋简体" w:eastAsia="方正仿宋简体" w:hint="eastAsia"/>
          <w:sz w:val="24"/>
        </w:rPr>
      </w:pP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（二）成片开发范围内拟征地农民集体情况</w:t>
      </w:r>
    </w:p>
    <w:p w:rsidR="0055185A" w:rsidRPr="00C267A5" w:rsidRDefault="00C267A5">
      <w:pPr>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本次土地征收成片开发范围总面积129.8546公顷，拟征收范围</w:t>
      </w:r>
      <w:r w:rsidRPr="00C267A5">
        <w:rPr>
          <w:rStyle w:val="fontstyle01"/>
          <w:rFonts w:ascii="方正仿宋简体" w:eastAsia="方正仿宋简体" w:hint="eastAsia"/>
          <w:sz w:val="28"/>
          <w:szCs w:val="28"/>
        </w:rPr>
        <w:lastRenderedPageBreak/>
        <w:t>面积91.6608公顷，详请见下表。</w:t>
      </w:r>
    </w:p>
    <w:p w:rsidR="0055185A" w:rsidRPr="00C267A5" w:rsidRDefault="00C267A5">
      <w:pPr>
        <w:spacing w:line="360" w:lineRule="auto"/>
        <w:ind w:firstLine="560"/>
        <w:jc w:val="center"/>
        <w:rPr>
          <w:rFonts w:ascii="方正仿宋简体" w:eastAsia="方正仿宋简体" w:hint="eastAsia"/>
          <w:b/>
          <w:sz w:val="24"/>
        </w:rPr>
      </w:pPr>
      <w:r w:rsidRPr="00C267A5">
        <w:rPr>
          <w:rFonts w:ascii="方正仿宋简体" w:eastAsia="方正仿宋简体" w:hint="eastAsia"/>
          <w:b/>
          <w:sz w:val="24"/>
        </w:rPr>
        <w:t>表2-2成片开发范围内拟征地农民集体面积一览表</w:t>
      </w:r>
    </w:p>
    <w:p w:rsidR="0055185A" w:rsidRPr="00C267A5" w:rsidRDefault="00C267A5">
      <w:pPr>
        <w:spacing w:line="360" w:lineRule="auto"/>
        <w:ind w:firstLine="560"/>
        <w:jc w:val="right"/>
        <w:rPr>
          <w:rFonts w:ascii="方正仿宋简体" w:eastAsia="方正仿宋简体" w:hint="eastAsia"/>
          <w:sz w:val="24"/>
        </w:rPr>
      </w:pPr>
      <w:r w:rsidRPr="00C267A5">
        <w:rPr>
          <w:rFonts w:ascii="方正仿宋简体" w:eastAsia="方正仿宋简体" w:hint="eastAsia"/>
          <w:sz w:val="24"/>
        </w:rPr>
        <w:t>单位：公顷</w:t>
      </w:r>
      <w:r w:rsidRPr="00C267A5">
        <w:rPr>
          <w:rFonts w:ascii="方正仿宋简体" w:eastAsia="方正仿宋简体" w:hint="eastAsia"/>
          <w:sz w:val="24"/>
        </w:rPr>
        <w:tab/>
      </w:r>
    </w:p>
    <w:tbl>
      <w:tblPr>
        <w:tblW w:w="8725" w:type="dxa"/>
        <w:tblInd w:w="96" w:type="dxa"/>
        <w:tblLook w:val="04A0"/>
      </w:tblPr>
      <w:tblGrid>
        <w:gridCol w:w="1271"/>
        <w:gridCol w:w="3960"/>
        <w:gridCol w:w="1985"/>
        <w:gridCol w:w="1513"/>
      </w:tblGrid>
      <w:tr w:rsidR="0055185A" w:rsidRPr="00C267A5">
        <w:trPr>
          <w:trHeight w:val="290"/>
        </w:trPr>
        <w:tc>
          <w:tcPr>
            <w:tcW w:w="12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镇街</w:t>
            </w:r>
          </w:p>
        </w:tc>
        <w:tc>
          <w:tcPr>
            <w:tcW w:w="39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权属单位</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片区面积（公顷）</w:t>
            </w:r>
          </w:p>
        </w:tc>
        <w:tc>
          <w:tcPr>
            <w:tcW w:w="15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小计（公顷）</w:t>
            </w: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池尾街道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高明经济联合社农民集体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2.9577</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5.2117</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合浦经济联合社农民集体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0.5581</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山湖经济联合社农民集体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1.4809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新丰经济联合社农民集体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0.215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赤岗镇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后湖经济联合社农民集体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2.873</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18.7184</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上洞经济联合社农民集体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5.4213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双岐山经济联合社农民集体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1.0683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仙洞经济联合社农民集体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9.3558</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船埔镇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永光经济联合社农民集体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1.0673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1.0673</w:t>
            </w: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大坝镇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陂乌经济联合社农民集体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1.7431</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21.3087</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横山经济联合社农民集体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0.613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葫芦地经济联合社农民集体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6.7883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平林经济联合社农民集体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8.3482</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上村经济联合社农民集体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3.8161</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大南山街道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陂沟经济联合社农民集体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4.8251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4.8251</w:t>
            </w:r>
          </w:p>
        </w:tc>
      </w:tr>
      <w:tr w:rsidR="0055185A" w:rsidRPr="00C267A5">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洪阳镇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和安经济联合社农民集体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1.701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1.701</w:t>
            </w: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里湖镇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新池内村新龙围经济联合社农民集体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3.0638</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4.6672</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新松村新埔经济联合社农民集体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1.6034</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流沙东街道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上塘经济联合社农民集体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13.3276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13.3276</w:t>
            </w: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流沙南街道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马栅经济联合社农民集体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1.415</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2.8518</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香员坑经济联合社农民集体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1.4368</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南径镇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南径村庵脚经济联合社农民集体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3.9999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3.9999</w:t>
            </w: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练江村两东经济联合社农民集体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0.262</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13.9821</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练江村塗寨经济联合社农民集体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0.017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平洋山经济联合社农民集体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0.6933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埔栅经济联合社农民集体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0.5525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桥柱新寮经济联合社农民集体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7.9421</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占陇镇洪厝寨经济联合社</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4.5152</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总计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91.6608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91.6608</w:t>
            </w:r>
          </w:p>
        </w:tc>
      </w:tr>
    </w:tbl>
    <w:p w:rsidR="0055185A" w:rsidRPr="00C267A5" w:rsidRDefault="00C267A5">
      <w:pPr>
        <w:rPr>
          <w:rFonts w:ascii="方正仿宋简体" w:eastAsia="方正仿宋简体" w:hint="eastAsia"/>
          <w:b/>
          <w:sz w:val="24"/>
        </w:rPr>
      </w:pPr>
      <w:r w:rsidRPr="00C267A5">
        <w:rPr>
          <w:rFonts w:ascii="方正仿宋简体" w:eastAsia="方正仿宋简体" w:hint="eastAsia"/>
          <w:b/>
          <w:sz w:val="24"/>
        </w:rPr>
        <w:br w:type="page"/>
      </w:r>
    </w:p>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lastRenderedPageBreak/>
        <w:t>成片开发条件分析</w:t>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（一）必要性分析</w:t>
      </w:r>
    </w:p>
    <w:p w:rsidR="0055185A" w:rsidRPr="00C267A5" w:rsidRDefault="00C267A5">
      <w:pPr>
        <w:spacing w:line="360" w:lineRule="auto"/>
        <w:ind w:firstLineChars="200" w:firstLine="600"/>
        <w:rPr>
          <w:rFonts w:ascii="方正仿宋简体" w:eastAsia="方正仿宋简体" w:hint="eastAsia"/>
          <w:sz w:val="30"/>
          <w:szCs w:val="30"/>
        </w:rPr>
      </w:pPr>
      <w:r w:rsidRPr="00C267A5">
        <w:rPr>
          <w:rFonts w:ascii="方正仿宋简体" w:eastAsia="方正仿宋简体" w:hint="eastAsia"/>
          <w:sz w:val="30"/>
          <w:szCs w:val="30"/>
        </w:rPr>
        <w:t>《普宁市国民经济和社会发展第十四个五年规划和二</w:t>
      </w:r>
      <w:r w:rsidRPr="00C267A5">
        <w:rPr>
          <w:rFonts w:ascii="方正仿宋简体" w:eastAsia="微软雅黑" w:hint="eastAsia"/>
          <w:sz w:val="30"/>
          <w:szCs w:val="30"/>
        </w:rPr>
        <w:t>〇</w:t>
      </w:r>
      <w:r w:rsidRPr="00C267A5">
        <w:rPr>
          <w:rFonts w:ascii="方正仿宋简体" w:eastAsia="方正仿宋简体" w:hint="eastAsia"/>
          <w:sz w:val="30"/>
          <w:szCs w:val="30"/>
        </w:rPr>
        <w:t>三五年远景目标纲要》中提出，提升城市功能品质，抓好城市综合体、高品质宜居项目建设，提高城市建设的品位和内涵。</w:t>
      </w:r>
    </w:p>
    <w:p w:rsidR="0055185A" w:rsidRPr="00C267A5" w:rsidRDefault="00C267A5">
      <w:pPr>
        <w:spacing w:line="360" w:lineRule="auto"/>
        <w:ind w:firstLineChars="200" w:firstLine="600"/>
        <w:rPr>
          <w:rFonts w:ascii="方正仿宋简体" w:eastAsia="方正仿宋简体" w:hint="eastAsia"/>
          <w:sz w:val="30"/>
          <w:szCs w:val="30"/>
        </w:rPr>
      </w:pPr>
      <w:r w:rsidRPr="00C267A5">
        <w:rPr>
          <w:rFonts w:ascii="方正仿宋简体" w:eastAsia="方正仿宋简体" w:hint="eastAsia"/>
          <w:sz w:val="30"/>
          <w:szCs w:val="30"/>
        </w:rPr>
        <w:t>本次土地征收成片开发方案拟在北部农旅协同片区、洪阳产镇联动片区、流沙东街道上塘经联社住宅用地建设的商业住宅，将与周边土地利用充分衔接，用于建设高品质宜居小区，提升城市价值，提高城市建设的品位和内涵。</w:t>
      </w:r>
    </w:p>
    <w:p w:rsidR="0055185A" w:rsidRPr="00C267A5" w:rsidRDefault="00C267A5">
      <w:pPr>
        <w:spacing w:line="360" w:lineRule="auto"/>
        <w:ind w:firstLineChars="200" w:firstLine="600"/>
        <w:rPr>
          <w:rFonts w:ascii="方正仿宋简体" w:eastAsia="方正仿宋简体" w:hint="eastAsia"/>
          <w:sz w:val="30"/>
          <w:szCs w:val="30"/>
        </w:rPr>
      </w:pPr>
      <w:r w:rsidRPr="00C267A5">
        <w:rPr>
          <w:rFonts w:ascii="方正仿宋简体" w:eastAsia="方正仿宋简体" w:hint="eastAsia"/>
          <w:sz w:val="30"/>
          <w:szCs w:val="30"/>
        </w:rPr>
        <w:t>此外，土地征收成片开发方案的编制是对现行土地利用总体规划、城镇体系规划以及在编国土空间规划的严格落实，有利于强化现行土地利用总体规划、城镇体系规划以及在编国土空间规划的用途管控、拓展优化城市发展空间、提升城市品质内涵、增强城市承载力和吸引力。</w:t>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（二）合规性分析</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普宁市不存在大量批而未供或者闲置土地，土地利用效率较高。本次成片开发所涉及的项目已纳入国民经济和社会发展年度计划和在编国土空间规划确定的城镇开发边界预案的集中建设区，片区公益性用地比例不低于40.00%，不涉及占用永久基本农田和生态保护红线，符合土地征收成片开发标准。</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本次土地征收成片开发方案符合国民经济和社会发展规划，成片开发范围内开发地块位于普宁市土地利用总体规划确定的城乡建设</w:t>
      </w:r>
      <w:r w:rsidRPr="00C267A5">
        <w:rPr>
          <w:rStyle w:val="fontstyle01"/>
          <w:rFonts w:ascii="方正仿宋简体" w:eastAsia="方正仿宋简体" w:hint="eastAsia"/>
          <w:sz w:val="28"/>
          <w:szCs w:val="28"/>
        </w:rPr>
        <w:lastRenderedPageBreak/>
        <w:t>用地范围内或城市、镇总体规划确定的建设用地范围内，方案与普宁市正在编制的国土空间规划进行充分衔接，位于普宁市城镇开发边界的集中建设区范围内。做到了保护耕地、节约集约用地、保护生态环境，能够促进普宁市经济社会可持续发展。</w:t>
      </w:r>
    </w:p>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t>土地用途与公益性用地情况</w:t>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（一）土地用途</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成片开发范围内地块在城市规划中用地性质为商业用地居住用地、文化设施用地、城市道路用地、交通场站用地、环境设施用地等。</w:t>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（二）公益性用地情况</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本次普宁市成片开发区域内包含20个片区，各个片区范围内基础设施、公共服务设施以及其他公益性用地比例均不低于40%，满足成片开发要求，各片区具体情况如下：</w:t>
      </w:r>
    </w:p>
    <w:p w:rsidR="0055185A" w:rsidRPr="00C267A5" w:rsidRDefault="00C267A5">
      <w:pPr>
        <w:spacing w:line="360" w:lineRule="auto"/>
        <w:ind w:firstLine="560"/>
        <w:jc w:val="center"/>
        <w:rPr>
          <w:rFonts w:ascii="方正仿宋简体" w:eastAsia="方正仿宋简体" w:hint="eastAsia"/>
          <w:b/>
          <w:sz w:val="24"/>
        </w:rPr>
      </w:pPr>
      <w:r w:rsidRPr="00C267A5">
        <w:rPr>
          <w:rFonts w:ascii="方正仿宋简体" w:eastAsia="方正仿宋简体" w:hint="eastAsia"/>
          <w:b/>
          <w:sz w:val="24"/>
        </w:rPr>
        <w:t>表4-1成片开发范围内规划用地情况表</w:t>
      </w:r>
    </w:p>
    <w:p w:rsidR="0055185A" w:rsidRPr="00C267A5" w:rsidRDefault="00C267A5">
      <w:pPr>
        <w:spacing w:line="360" w:lineRule="auto"/>
        <w:ind w:firstLine="560"/>
        <w:jc w:val="right"/>
        <w:rPr>
          <w:rFonts w:ascii="方正仿宋简体" w:eastAsia="方正仿宋简体" w:hint="eastAsia"/>
          <w:bCs/>
          <w:sz w:val="24"/>
        </w:rPr>
      </w:pPr>
      <w:r w:rsidRPr="00C267A5">
        <w:rPr>
          <w:rFonts w:ascii="方正仿宋简体" w:eastAsia="方正仿宋简体" w:hint="eastAsia"/>
          <w:bCs/>
          <w:sz w:val="24"/>
        </w:rPr>
        <w:t>单位：公顷</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4"/>
        <w:gridCol w:w="1572"/>
        <w:gridCol w:w="1937"/>
        <w:gridCol w:w="1184"/>
        <w:gridCol w:w="1074"/>
        <w:gridCol w:w="1121"/>
      </w:tblGrid>
      <w:tr w:rsidR="0055185A" w:rsidRPr="00C267A5">
        <w:trPr>
          <w:trHeight w:val="290"/>
          <w:tblHeader/>
        </w:trPr>
        <w:tc>
          <w:tcPr>
            <w:tcW w:w="9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片区名称</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用地类型</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用途</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面积（公顷）</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小计</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占比</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北部农旅协同片区</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二类居住用地（R2）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0.9866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0.9866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59.53%</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0.6708</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0.6708</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40.47%</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1.6574</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1.6574</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东部城乡融合片区</w:t>
            </w: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0.2551</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3.508</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48.64%</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3.2529</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二类工业用地（M2）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3.704</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3.704</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51.36%</w:t>
            </w: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7.212</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7.212</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广东普宁产业转移工业园片区-01</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商业用地（B1）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3.7836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3.7836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53.94%</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2.838</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3.2307</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46.06%</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交通站场用地（S4）</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0.3927</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7.0143</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7.0143</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广东普宁产业转移工业园片区-02</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商业用地（B1）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7.4237</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7.4237</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57.47%</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5.4928</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5.4928</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42.53%</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12.9165</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12.9165</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lastRenderedPageBreak/>
              <w:t>广东普宁产业转移工业园片区-03</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一类工业用地（M1）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0.2101</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0.2101</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18.33%</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0.2297</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0.2297</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81.67%</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b/>
                <w:bCs/>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color w:val="000000"/>
                <w:kern w:val="0"/>
                <w:szCs w:val="21"/>
                <w:lang/>
              </w:rPr>
              <w:t>0.7062</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color w:val="000000"/>
                <w:kern w:val="0"/>
                <w:szCs w:val="21"/>
                <w:lang/>
              </w:rPr>
              <w:t>0.7062</w:t>
            </w:r>
          </w:p>
        </w:tc>
        <w:tc>
          <w:tcPr>
            <w:tcW w:w="658" w:type="pct"/>
            <w:vMerge/>
            <w:shd w:val="clear" w:color="auto" w:fill="auto"/>
            <w:noWrap/>
            <w:vAlign w:val="center"/>
          </w:tcPr>
          <w:p w:rsidR="0055185A" w:rsidRPr="00C267A5" w:rsidRDefault="0055185A">
            <w:pPr>
              <w:jc w:val="center"/>
              <w:rPr>
                <w:rFonts w:ascii="方正仿宋简体" w:eastAsia="方正仿宋简体" w:hint="eastAsia"/>
                <w:b/>
                <w:bCs/>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1.146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1.146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广东普宁产业转移工业园片区-04</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一类工业用地（M1）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4.2436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4.2436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57.05%</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3.1945</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3.1945</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42.95%</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7.4381</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7.4381</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广东普宁产业转移工业园片区-05</w:t>
            </w: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4.7245</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8.9036</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42.47%</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3.5995</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交通场站用地（S4）</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0.5796</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二类工业用地（M2）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12.0599</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12.0599</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57.53%</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20.9635</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20.9635</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广东普宁产业转移工业园片区-06</w:t>
            </w: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0.7179</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2.4681</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41.00%</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1.6029</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环境设施用地（U2）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0.1473</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二类工业用地（M2）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3.5513</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3.5513</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59.00%</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6.0194</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6.0194</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jc w:val="center"/>
              <w:rPr>
                <w:rFonts w:ascii="方正仿宋简体" w:eastAsia="方正仿宋简体" w:hint="eastAsia"/>
                <w:color w:val="000000"/>
                <w:kern w:val="0"/>
                <w:szCs w:val="21"/>
                <w:lang/>
              </w:rPr>
            </w:pPr>
            <w:r w:rsidRPr="00C267A5">
              <w:rPr>
                <w:rFonts w:ascii="方正仿宋简体" w:eastAsia="方正仿宋简体" w:hint="eastAsia"/>
                <w:color w:val="000000"/>
                <w:sz w:val="22"/>
                <w:szCs w:val="22"/>
              </w:rPr>
              <w:t>广东普宁产业转移工业园片区-07</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二类工业用地（M1）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0.627</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0.627</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57.96%</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kern w:val="0"/>
                <w:szCs w:val="21"/>
                <w:lang/>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0.4547</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0.4547</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 w:val="22"/>
                <w:szCs w:val="22"/>
                <w:lang/>
              </w:rPr>
              <w:t>42.04%</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kern w:val="0"/>
                <w:szCs w:val="21"/>
                <w:lang/>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b/>
                <w:bCs/>
                <w:color w:val="000000"/>
                <w:kern w:val="0"/>
                <w:sz w:val="22"/>
                <w:szCs w:val="22"/>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b/>
                <w:bCs/>
                <w:color w:val="000000"/>
                <w:kern w:val="0"/>
                <w:sz w:val="22"/>
                <w:szCs w:val="22"/>
                <w:lang/>
              </w:rPr>
              <w:t>1.0817</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b/>
                <w:bCs/>
                <w:color w:val="000000"/>
                <w:kern w:val="0"/>
                <w:sz w:val="22"/>
                <w:szCs w:val="22"/>
                <w:lang/>
              </w:rPr>
              <w:t>1.0817</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b/>
                <w:bCs/>
                <w:color w:val="000000"/>
                <w:kern w:val="0"/>
                <w:sz w:val="22"/>
                <w:szCs w:val="22"/>
                <w:lang/>
              </w:rPr>
              <w:t>100.00%</w:t>
            </w:r>
          </w:p>
        </w:tc>
      </w:tr>
      <w:tr w:rsidR="0055185A" w:rsidRPr="00C267A5">
        <w:trPr>
          <w:trHeight w:val="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洪阳产镇联动片区</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二类居住用地（R2）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1.7011</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1.7011</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58.09%</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1.2273</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1.2273</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41.91%</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2.9284</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2.9284</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老城片区-01</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商业用地（B1）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10.1765</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10.1765</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59.69%</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广场用地（G3）</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1.4451</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6.8735</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40.31%</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5.4284</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17.05</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17.05</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老城片区-02</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商业服务业设施用地B</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0.4799</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0.4799</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51.07%</w:t>
            </w: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0.4598</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0.4598</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48.93%</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0.9397</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0.9397</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老城片区-03</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1.6219</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1.6219</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40.60%</w:t>
            </w:r>
          </w:p>
        </w:tc>
      </w:tr>
      <w:tr w:rsidR="0055185A" w:rsidRPr="00C267A5">
        <w:trPr>
          <w:trHeight w:val="257"/>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二类居住用地（R2）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2.3726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2.3726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59.40%</w:t>
            </w: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 xml:space="preserve">3.9945 </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 xml:space="preserve">3.9945 </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里湖产贸联动片区</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二类居住用地（R2）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4.0507</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4.0507</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58.96%</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2.8191</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2.8191</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41.04%</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6.8698</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6.8698</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西部生态优化片区-01</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一类工业用地（M1）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4.084</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4.084</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58.88%</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2.8516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2.8516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41.12%</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6.9356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6.9356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西部生态优化片区-02</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2.2209</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2.2209</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41.24%</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二类居住用地（R2）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3.1646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3.1646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58.76%</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5.3855</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5.3855</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西部生态优化片区-03</w:t>
            </w: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0.4844</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0.7126</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40.04%</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0.2282</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一类工业用地（M1）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1.0673</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1.0673</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59.96%</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1.7799</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1.7799</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西部生态优化片区-04</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1.4274</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1.4274</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41.18%</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二类物流仓储用地（W2）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2.039</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2.039</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58.82%</w:t>
            </w: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 xml:space="preserve">3.4664 </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 xml:space="preserve">3.4664 </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占陇镇园联动片区-01</w:t>
            </w: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二类工业用地（M2）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3.4954</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7.8654</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56.32%</w:t>
            </w: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二类居住用地（R2）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1.0489</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二类物流仓储用地（W2）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1.7506</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公共管理与公共服务设施用地（A）</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0.4974</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农林用地（E2）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0.039</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行政办公用地（A1）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1.0341</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安全设施用地（U3）</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0.0253</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6.0991</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43.68%</w:t>
            </w: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3.6524</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防护绿地（G2）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1.7418</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环境设施用地（U2）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0.4045</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922"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交通场站用地（S4）</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0.2751</w:t>
            </w:r>
          </w:p>
        </w:tc>
        <w:tc>
          <w:tcPr>
            <w:tcW w:w="630"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c>
          <w:tcPr>
            <w:tcW w:w="6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color w:val="000000"/>
                <w:kern w:val="0"/>
                <w:szCs w:val="21"/>
                <w:lang/>
              </w:rPr>
            </w:pPr>
          </w:p>
        </w:tc>
      </w:tr>
      <w:tr w:rsidR="0055185A" w:rsidRPr="00C267A5">
        <w:trPr>
          <w:trHeight w:val="290"/>
        </w:trPr>
        <w:tc>
          <w:tcPr>
            <w:tcW w:w="958" w:type="pct"/>
            <w:vMerge/>
            <w:shd w:val="clear" w:color="auto" w:fill="auto"/>
            <w:noWrap/>
            <w:vAlign w:val="center"/>
          </w:tcPr>
          <w:p w:rsidR="0055185A" w:rsidRPr="00C267A5" w:rsidRDefault="0055185A">
            <w:pPr>
              <w:widowControl/>
              <w:jc w:val="center"/>
              <w:textAlignment w:val="center"/>
              <w:rPr>
                <w:rFonts w:ascii="方正仿宋简体" w:eastAsia="方正仿宋简体" w:hint="eastAsia"/>
                <w:b/>
                <w:bCs/>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合计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13.9645</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13.9645</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9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占陇镇园联动片区-02</w:t>
            </w:r>
          </w:p>
        </w:tc>
        <w:tc>
          <w:tcPr>
            <w:tcW w:w="922"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非公益性用地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二类工业用地（M2）</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0.6331</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0.6331</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58.01%</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公益性用地</w:t>
            </w: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城市道路用地（S1）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0.1623</w:t>
            </w:r>
          </w:p>
        </w:tc>
        <w:tc>
          <w:tcPr>
            <w:tcW w:w="630"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0.4583</w:t>
            </w:r>
          </w:p>
        </w:tc>
        <w:tc>
          <w:tcPr>
            <w:tcW w:w="658" w:type="pct"/>
            <w:vMerge w:val="restar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41.99%</w:t>
            </w:r>
          </w:p>
        </w:tc>
      </w:tr>
      <w:tr w:rsidR="0055185A" w:rsidRPr="00C267A5">
        <w:trPr>
          <w:trHeight w:val="290"/>
        </w:trPr>
        <w:tc>
          <w:tcPr>
            <w:tcW w:w="9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922"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1135"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公园绿地（G1）</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0.296</w:t>
            </w:r>
          </w:p>
        </w:tc>
        <w:tc>
          <w:tcPr>
            <w:tcW w:w="630"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658" w:type="pct"/>
            <w:vMerge/>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958" w:type="pct"/>
            <w:shd w:val="clear" w:color="auto" w:fill="auto"/>
            <w:noWrap/>
            <w:vAlign w:val="center"/>
          </w:tcPr>
          <w:p w:rsidR="0055185A" w:rsidRPr="00C267A5" w:rsidRDefault="0055185A">
            <w:pPr>
              <w:widowControl/>
              <w:jc w:val="center"/>
              <w:textAlignment w:val="center"/>
              <w:rPr>
                <w:rFonts w:ascii="方正仿宋简体" w:eastAsia="方正仿宋简体" w:hint="eastAsia"/>
                <w:b/>
                <w:bCs/>
                <w:color w:val="000000"/>
                <w:szCs w:val="21"/>
              </w:rPr>
            </w:pPr>
          </w:p>
        </w:tc>
        <w:tc>
          <w:tcPr>
            <w:tcW w:w="2058" w:type="pct"/>
            <w:gridSpan w:val="2"/>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合计</w:t>
            </w:r>
            <w:bookmarkStart w:id="1" w:name="_GoBack"/>
            <w:bookmarkEnd w:id="1"/>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1.0914</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1.0914</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r w:rsidR="0055185A" w:rsidRPr="00C267A5">
        <w:trPr>
          <w:trHeight w:val="290"/>
        </w:trPr>
        <w:tc>
          <w:tcPr>
            <w:tcW w:w="3016" w:type="pct"/>
            <w:gridSpan w:val="3"/>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总计</w:t>
            </w:r>
          </w:p>
        </w:tc>
        <w:tc>
          <w:tcPr>
            <w:tcW w:w="694"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szCs w:val="21"/>
              </w:rPr>
              <w:t>129.8546</w:t>
            </w:r>
          </w:p>
        </w:tc>
        <w:tc>
          <w:tcPr>
            <w:tcW w:w="630"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szCs w:val="21"/>
              </w:rPr>
              <w:t>129.8546</w:t>
            </w:r>
          </w:p>
        </w:tc>
        <w:tc>
          <w:tcPr>
            <w:tcW w:w="658" w:type="pct"/>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100.00%</w:t>
            </w:r>
          </w:p>
        </w:tc>
      </w:tr>
    </w:tbl>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lastRenderedPageBreak/>
        <w:t>实施计划</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本方案拟建的项目用地开发时序为2年（即2022年至2023年），项目拟征地总面积共计91.6608公顷，具体实施时序详见下表。</w:t>
      </w:r>
    </w:p>
    <w:p w:rsidR="0055185A" w:rsidRPr="00C267A5" w:rsidRDefault="00C267A5">
      <w:pPr>
        <w:spacing w:line="360" w:lineRule="auto"/>
        <w:ind w:firstLineChars="200" w:firstLine="482"/>
        <w:jc w:val="center"/>
        <w:rPr>
          <w:rFonts w:ascii="方正仿宋简体" w:eastAsia="方正仿宋简体" w:hint="eastAsia"/>
          <w:b/>
          <w:sz w:val="24"/>
        </w:rPr>
      </w:pPr>
      <w:r w:rsidRPr="00C267A5">
        <w:rPr>
          <w:rFonts w:ascii="方正仿宋简体" w:eastAsia="方正仿宋简体" w:hint="eastAsia"/>
          <w:b/>
          <w:sz w:val="24"/>
        </w:rPr>
        <w:t>表5-1成片开发项目实施计划一览表</w:t>
      </w:r>
    </w:p>
    <w:tbl>
      <w:tblPr>
        <w:tblW w:w="6106" w:type="pct"/>
        <w:tblInd w:w="-954" w:type="dxa"/>
        <w:tblLayout w:type="fixed"/>
        <w:tblLook w:val="04A0"/>
      </w:tblPr>
      <w:tblGrid>
        <w:gridCol w:w="462"/>
        <w:gridCol w:w="2000"/>
        <w:gridCol w:w="3957"/>
        <w:gridCol w:w="1290"/>
        <w:gridCol w:w="1557"/>
        <w:gridCol w:w="1141"/>
      </w:tblGrid>
      <w:tr w:rsidR="0055185A" w:rsidRPr="00C267A5">
        <w:trPr>
          <w:trHeight w:val="290"/>
          <w:tblHeader/>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序号</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成片开发范围名称</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拟安排项目名称</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kern w:val="0"/>
                <w:szCs w:val="21"/>
                <w:lang/>
              </w:rPr>
            </w:pPr>
            <w:r w:rsidRPr="00C267A5">
              <w:rPr>
                <w:rFonts w:ascii="方正仿宋简体" w:eastAsia="方正仿宋简体" w:hint="eastAsia"/>
                <w:b/>
                <w:bCs/>
                <w:color w:val="000000"/>
                <w:kern w:val="0"/>
                <w:szCs w:val="21"/>
                <w:lang/>
              </w:rPr>
              <w:t>拟征地面积</w:t>
            </w:r>
          </w:p>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（公顷）</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计划完成土地征收时间</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b/>
                <w:bCs/>
                <w:color w:val="000000"/>
                <w:szCs w:val="21"/>
              </w:rPr>
            </w:pPr>
            <w:r w:rsidRPr="00C267A5">
              <w:rPr>
                <w:rFonts w:ascii="方正仿宋简体" w:eastAsia="方正仿宋简体" w:hint="eastAsia"/>
                <w:b/>
                <w:bCs/>
                <w:color w:val="000000"/>
                <w:kern w:val="0"/>
                <w:szCs w:val="21"/>
                <w:lang/>
              </w:rPr>
              <w:t>开发时序</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北部农旅协同片区</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赤岗镇双枝山村村宅用地</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1.0683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317"/>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东部城乡融合片区</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普宁市粮食应急加工厂</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3.9999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广东普宁产业转移工业园片区-01</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中茵商服用地</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3.9968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广东普宁产业转移工业园片区-02</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江南果蔬市场</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8.0881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广东普宁产业转移工业园片区-03</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冷链仓储物流中心建设项目（地块-01）</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1.146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广东普宁产业转移工业园片区-04</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冷链仓储物流中心建设项目（地块-02）</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5.6423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广东普宁产业转移工业园片区-05</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广东普宁产业转移工业园（普宁市2020年度第三批次城镇建设用地地块-01）</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15.2325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8</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广东普宁产业转移工业园片区-06</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广东普宁产业转移工业园（普宁市2020年度第三批次城镇建设用地地块-02）</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4.1607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9</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广东普宁产业转移工业园片区-07</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广东普宁产业转移工业园（普宁市2020年度第三批次城镇建设用地地块-03）</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kern w:val="0"/>
                <w:szCs w:val="21"/>
                <w:lang/>
              </w:rPr>
            </w:pPr>
            <w:r w:rsidRPr="00C267A5">
              <w:rPr>
                <w:rFonts w:ascii="方正仿宋简体" w:eastAsia="方正仿宋简体" w:hint="eastAsia"/>
                <w:color w:val="000000"/>
                <w:kern w:val="0"/>
                <w:szCs w:val="21"/>
                <w:lang/>
              </w:rPr>
              <w:t>0.6924</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洪阳产镇联动片区</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洪阳镇和安村住宅用地</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1.7010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11</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老城片区-01</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上塘片区住宅用地</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13.3276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老城片区-02</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香员坑村奔驰4s店（普宁市2020年度第二批次城镇建设用地地块-02）</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0.4799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13</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老城片区-03</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香员坑村住宅用地</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2.3719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14</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里湖产贸联动片区</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里湖镇原果子厂片区住宅用地</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4.6672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15</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西部生态优化片区-01</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利泰产业用地</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4.8251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西部生态优化片区-02</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纯晶玻璃厂住宅用地（普宁市2020年度第二批次城镇建设用地地块-01）</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3.1727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西部生态优化片区-03</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永光矿泉水厂（普宁市2020年度第二批次城镇建设用地地块-03）</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1.0673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18</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西部生态优化片区-04</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飞灰应急处理工程</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2.0390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19</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占陇镇园联动片区-01</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纺织印染环保综合处理中心起步区（地块-01）</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13.3491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lastRenderedPageBreak/>
              <w:t>20</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占陇镇园联动片区-02</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left"/>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纺织印染环保综合处理中心起步区和远达印染（地块-02）</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0.6330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2023</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2022</w:t>
            </w:r>
          </w:p>
        </w:tc>
      </w:tr>
      <w:tr w:rsidR="0055185A" w:rsidRPr="00C267A5">
        <w:trPr>
          <w:trHeight w:val="290"/>
        </w:trPr>
        <w:tc>
          <w:tcPr>
            <w:tcW w:w="2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c>
          <w:tcPr>
            <w:tcW w:w="96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c>
          <w:tcPr>
            <w:tcW w:w="189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c>
          <w:tcPr>
            <w:tcW w:w="62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 xml:space="preserve">91.6608 </w:t>
            </w:r>
          </w:p>
        </w:tc>
        <w:tc>
          <w:tcPr>
            <w:tcW w:w="7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c>
          <w:tcPr>
            <w:tcW w:w="54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w:t>
            </w:r>
          </w:p>
        </w:tc>
      </w:tr>
    </w:tbl>
    <w:p w:rsidR="0055185A" w:rsidRPr="00C267A5" w:rsidRDefault="0055185A">
      <w:pPr>
        <w:rPr>
          <w:rStyle w:val="fontstyle01"/>
          <w:rFonts w:ascii="方正仿宋简体" w:eastAsia="方正仿宋简体" w:hint="eastAsia"/>
          <w:b/>
          <w:bCs/>
          <w:sz w:val="36"/>
          <w:szCs w:val="36"/>
        </w:rPr>
      </w:pPr>
    </w:p>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t>效益评估</w:t>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（一）土地利用效益评估</w:t>
      </w:r>
    </w:p>
    <w:p w:rsidR="0055185A" w:rsidRPr="00C267A5" w:rsidRDefault="00C267A5">
      <w:pPr>
        <w:spacing w:line="360" w:lineRule="auto"/>
        <w:ind w:firstLineChars="200" w:firstLine="560"/>
        <w:rPr>
          <w:rStyle w:val="fontstyle01"/>
          <w:rFonts w:ascii="方正仿宋简体" w:eastAsia="方正仿宋简体" w:hint="eastAsia"/>
          <w:sz w:val="36"/>
          <w:szCs w:val="36"/>
        </w:rPr>
      </w:pPr>
      <w:r w:rsidRPr="00C267A5">
        <w:rPr>
          <w:rStyle w:val="fontstyle01"/>
          <w:rFonts w:ascii="方正仿宋简体" w:eastAsia="方正仿宋简体" w:hint="eastAsia"/>
          <w:sz w:val="28"/>
          <w:szCs w:val="28"/>
        </w:rPr>
        <w:t>本次土地征收成片开发建设可有效推进土地节约集约利用，提高普宁市土地利用效率，避免用地浪费，实现土地资源的合理配置。</w:t>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（二）经济效益评估</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本次土地征收成片开发对片区内地块进行统一规划建设，有利于形成有规模的产业园区，形成产业集群与产业链，实现规划引导项目，有利于打造现代产业体系，建设实业普宁。拟建项目包括商业、住宅等，与周边土地利用充分衔接，有利于推动商业、房地产业的发展，有利于构建现代化经济体系，增加政府财政税收。</w:t>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t>（三）社会效益评估</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本次土地征收成片开发建设，将有利于国土空间规划的执行，完善成片开发范围片区基础设施与公共服务设施建设，增加就业岗位，提高就业率。</w:t>
      </w:r>
    </w:p>
    <w:p w:rsidR="0055185A" w:rsidRPr="00C267A5" w:rsidRDefault="00C267A5">
      <w:pPr>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br w:type="page"/>
      </w:r>
    </w:p>
    <w:p w:rsidR="0055185A" w:rsidRPr="00C267A5" w:rsidRDefault="00C267A5">
      <w:pPr>
        <w:spacing w:line="360" w:lineRule="auto"/>
        <w:rPr>
          <w:rStyle w:val="fontstyle01"/>
          <w:rFonts w:ascii="方正仿宋简体" w:eastAsia="方正仿宋简体" w:hint="eastAsia"/>
          <w:b/>
          <w:bCs/>
        </w:rPr>
      </w:pPr>
      <w:r w:rsidRPr="00C267A5">
        <w:rPr>
          <w:rStyle w:val="fontstyle01"/>
          <w:rFonts w:ascii="方正仿宋简体" w:eastAsia="方正仿宋简体" w:hint="eastAsia"/>
          <w:b/>
          <w:bCs/>
        </w:rPr>
        <w:lastRenderedPageBreak/>
        <w:t>（四）生态效益评估</w:t>
      </w:r>
    </w:p>
    <w:p w:rsidR="0055185A" w:rsidRPr="00C267A5" w:rsidRDefault="00C267A5">
      <w:pPr>
        <w:spacing w:line="360" w:lineRule="auto"/>
        <w:ind w:firstLineChars="200" w:firstLine="560"/>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t>项目成片开发范围不涉及永久基本农田、自然保护地、陆域生态保护红线、水源保护区、湿地等生态底线管控要素，符合生态环境保护要求。项目在后续的开发建设过程中将采取有效的环境影响保护控制及削减措施，避免对区域大气环境、生态环境、地下水环境、土壤环境产生超出环境容量的影响，减少对区域生态环境品质产生不利影响。</w:t>
      </w:r>
    </w:p>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t>结论</w:t>
      </w:r>
    </w:p>
    <w:p w:rsidR="0055185A" w:rsidRPr="00C267A5" w:rsidRDefault="00C267A5">
      <w:pPr>
        <w:pStyle w:val="a4"/>
        <w:spacing w:before="0" w:line="360" w:lineRule="auto"/>
        <w:ind w:left="0" w:firstLineChars="200" w:firstLine="560"/>
        <w:rPr>
          <w:rStyle w:val="fontstyle01"/>
          <w:rFonts w:ascii="方正仿宋简体" w:eastAsia="方正仿宋简体" w:hAnsi="Times New Roman" w:hint="eastAsia"/>
          <w:kern w:val="2"/>
          <w:sz w:val="28"/>
          <w:szCs w:val="28"/>
          <w:lang w:eastAsia="zh-CN"/>
        </w:rPr>
      </w:pPr>
      <w:r w:rsidRPr="00C267A5">
        <w:rPr>
          <w:rStyle w:val="fontstyle01"/>
          <w:rFonts w:ascii="方正仿宋简体" w:eastAsia="方正仿宋简体" w:hAnsi="Times New Roman" w:hint="eastAsia"/>
          <w:kern w:val="2"/>
          <w:sz w:val="28"/>
          <w:szCs w:val="28"/>
          <w:lang w:eastAsia="zh-CN"/>
        </w:rPr>
        <w:t>综上所述，《揭阳市普宁市2022年度土地征收成片开发方案》符合《自然资源部关于印发&lt;土地征收成片开发标准（试行）&gt;的通知》（自然资规〔2020〕5号）《广东省自然资源厅关于规范土地征收成片开发工作的通知》（粤自然资发〔2021〕20号）等相关规范文件要求，符合上报审查要求。</w:t>
      </w:r>
    </w:p>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t>公示时间</w:t>
      </w:r>
    </w:p>
    <w:p w:rsidR="0055185A" w:rsidRPr="00C267A5" w:rsidRDefault="00C267A5">
      <w:pPr>
        <w:pStyle w:val="a4"/>
        <w:spacing w:before="0" w:line="360" w:lineRule="auto"/>
        <w:ind w:left="0" w:firstLineChars="200" w:firstLine="560"/>
        <w:rPr>
          <w:rStyle w:val="fontstyle01"/>
          <w:rFonts w:ascii="方正仿宋简体" w:eastAsia="方正仿宋简体" w:hAnsi="Times New Roman" w:hint="eastAsia"/>
          <w:kern w:val="2"/>
          <w:sz w:val="28"/>
          <w:szCs w:val="28"/>
          <w:lang w:eastAsia="zh-CN"/>
        </w:rPr>
      </w:pPr>
      <w:r w:rsidRPr="00C267A5">
        <w:rPr>
          <w:rStyle w:val="fontstyle01"/>
          <w:rFonts w:ascii="方正仿宋简体" w:eastAsia="方正仿宋简体" w:hAnsi="Times New Roman" w:hint="eastAsia"/>
          <w:kern w:val="2"/>
          <w:sz w:val="28"/>
          <w:szCs w:val="28"/>
          <w:lang w:eastAsia="zh-CN"/>
        </w:rPr>
        <w:t>公示期为7天，从2022年10月2</w:t>
      </w:r>
      <w:r>
        <w:rPr>
          <w:rStyle w:val="fontstyle01"/>
          <w:rFonts w:ascii="方正仿宋简体" w:eastAsia="方正仿宋简体" w:hAnsi="Times New Roman" w:hint="eastAsia"/>
          <w:kern w:val="2"/>
          <w:sz w:val="28"/>
          <w:szCs w:val="28"/>
          <w:lang w:eastAsia="zh-CN"/>
        </w:rPr>
        <w:t>6</w:t>
      </w:r>
      <w:r w:rsidRPr="00C267A5">
        <w:rPr>
          <w:rStyle w:val="fontstyle01"/>
          <w:rFonts w:ascii="方正仿宋简体" w:eastAsia="方正仿宋简体" w:hAnsi="Times New Roman" w:hint="eastAsia"/>
          <w:kern w:val="2"/>
          <w:sz w:val="28"/>
          <w:szCs w:val="28"/>
          <w:lang w:eastAsia="zh-CN"/>
        </w:rPr>
        <w:t>日至2022年11月</w:t>
      </w:r>
      <w:r>
        <w:rPr>
          <w:rStyle w:val="fontstyle01"/>
          <w:rFonts w:ascii="方正仿宋简体" w:eastAsia="方正仿宋简体" w:hAnsi="Times New Roman" w:hint="eastAsia"/>
          <w:kern w:val="2"/>
          <w:sz w:val="28"/>
          <w:szCs w:val="28"/>
          <w:lang w:eastAsia="zh-CN"/>
        </w:rPr>
        <w:t>2</w:t>
      </w:r>
      <w:r w:rsidRPr="00C267A5">
        <w:rPr>
          <w:rStyle w:val="fontstyle01"/>
          <w:rFonts w:ascii="方正仿宋简体" w:eastAsia="方正仿宋简体" w:hAnsi="Times New Roman" w:hint="eastAsia"/>
          <w:kern w:val="2"/>
          <w:sz w:val="28"/>
          <w:szCs w:val="28"/>
          <w:lang w:eastAsia="zh-CN"/>
        </w:rPr>
        <w:t>日。</w:t>
      </w:r>
    </w:p>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t>公示方式和地点</w:t>
      </w:r>
    </w:p>
    <w:p w:rsidR="0055185A" w:rsidRPr="00C267A5" w:rsidRDefault="00C267A5">
      <w:pPr>
        <w:pStyle w:val="a4"/>
        <w:spacing w:before="0" w:line="360" w:lineRule="auto"/>
        <w:ind w:left="0" w:firstLineChars="200" w:firstLine="560"/>
        <w:rPr>
          <w:rStyle w:val="fontstyle01"/>
          <w:rFonts w:ascii="方正仿宋简体" w:eastAsia="方正仿宋简体" w:hAnsi="Times New Roman" w:hint="eastAsia"/>
          <w:kern w:val="2"/>
          <w:sz w:val="28"/>
          <w:szCs w:val="28"/>
          <w:lang w:eastAsia="zh-CN"/>
        </w:rPr>
      </w:pPr>
      <w:r w:rsidRPr="00C267A5">
        <w:rPr>
          <w:rStyle w:val="fontstyle01"/>
          <w:rFonts w:ascii="方正仿宋简体" w:eastAsia="方正仿宋简体" w:hAnsi="Times New Roman" w:hint="eastAsia"/>
          <w:kern w:val="2"/>
          <w:sz w:val="28"/>
          <w:szCs w:val="28"/>
          <w:lang w:eastAsia="zh-CN"/>
        </w:rPr>
        <w:t>本方案将在</w:t>
      </w:r>
      <w:r w:rsidRPr="00C267A5">
        <w:rPr>
          <w:rStyle w:val="fontstyle01"/>
          <w:rFonts w:ascii="方正仿宋简体" w:eastAsia="方正仿宋简体" w:hAnsi="Times New Roman" w:hint="eastAsia"/>
          <w:sz w:val="28"/>
          <w:szCs w:val="28"/>
          <w:lang w:eastAsia="zh-CN"/>
        </w:rPr>
        <w:t>拟实行土地征收成片开发</w:t>
      </w:r>
      <w:r w:rsidRPr="00C267A5">
        <w:rPr>
          <w:rStyle w:val="fontstyle01"/>
          <w:rFonts w:ascii="方正仿宋简体" w:eastAsia="方正仿宋简体" w:hAnsi="Times New Roman" w:hint="eastAsia"/>
          <w:kern w:val="2"/>
          <w:sz w:val="28"/>
          <w:szCs w:val="28"/>
          <w:lang w:eastAsia="zh-CN"/>
        </w:rPr>
        <w:t>的镇街、村的公示栏进行张贴公示。</w:t>
      </w:r>
    </w:p>
    <w:p w:rsidR="0055185A" w:rsidRPr="00C267A5" w:rsidRDefault="00C267A5">
      <w:pPr>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br w:type="page"/>
      </w:r>
    </w:p>
    <w:p w:rsidR="0055185A" w:rsidRPr="00C267A5" w:rsidRDefault="00C267A5">
      <w:pPr>
        <w:spacing w:line="360" w:lineRule="auto"/>
        <w:ind w:firstLineChars="200" w:firstLine="482"/>
        <w:jc w:val="center"/>
        <w:rPr>
          <w:rFonts w:ascii="方正仿宋简体" w:eastAsia="方正仿宋简体" w:hint="eastAsia"/>
          <w:b/>
          <w:sz w:val="24"/>
        </w:rPr>
      </w:pPr>
      <w:r w:rsidRPr="00C267A5">
        <w:rPr>
          <w:rFonts w:ascii="方正仿宋简体" w:eastAsia="方正仿宋简体" w:hint="eastAsia"/>
          <w:b/>
          <w:sz w:val="24"/>
        </w:rPr>
        <w:lastRenderedPageBreak/>
        <w:t>表9-1成片开发范围涉及的镇街、村</w:t>
      </w:r>
    </w:p>
    <w:tbl>
      <w:tblPr>
        <w:tblW w:w="8725" w:type="dxa"/>
        <w:tblInd w:w="96" w:type="dxa"/>
        <w:tblLook w:val="04A0"/>
      </w:tblPr>
      <w:tblGrid>
        <w:gridCol w:w="1271"/>
        <w:gridCol w:w="3960"/>
        <w:gridCol w:w="1985"/>
        <w:gridCol w:w="1513"/>
      </w:tblGrid>
      <w:tr w:rsidR="0055185A" w:rsidRPr="00C267A5">
        <w:trPr>
          <w:trHeight w:val="290"/>
        </w:trPr>
        <w:tc>
          <w:tcPr>
            <w:tcW w:w="127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镇街</w:t>
            </w:r>
          </w:p>
        </w:tc>
        <w:tc>
          <w:tcPr>
            <w:tcW w:w="396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权属单位</w:t>
            </w:r>
          </w:p>
        </w:tc>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片区面积（公顷）</w:t>
            </w:r>
          </w:p>
        </w:tc>
        <w:tc>
          <w:tcPr>
            <w:tcW w:w="151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小计（公顷）</w:t>
            </w:r>
          </w:p>
        </w:tc>
      </w:tr>
      <w:tr w:rsidR="0055185A" w:rsidRPr="00C267A5">
        <w:trPr>
          <w:trHeight w:val="290"/>
        </w:trPr>
        <w:tc>
          <w:tcPr>
            <w:tcW w:w="0" w:type="auto"/>
            <w:vMerge w:val="restart"/>
            <w:tcBorders>
              <w:top w:val="nil"/>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池尾街道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高明经济联合社农民集体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4.9439</w:t>
            </w:r>
          </w:p>
        </w:tc>
        <w:tc>
          <w:tcPr>
            <w:tcW w:w="0" w:type="auto"/>
            <w:vMerge w:val="restart"/>
            <w:tcBorders>
              <w:top w:val="nil"/>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8.8519</w:t>
            </w:r>
          </w:p>
        </w:tc>
      </w:tr>
      <w:tr w:rsidR="0055185A" w:rsidRPr="00C267A5">
        <w:trPr>
          <w:trHeight w:val="290"/>
        </w:trPr>
        <w:tc>
          <w:tcPr>
            <w:tcW w:w="0" w:type="auto"/>
            <w:vMerge/>
            <w:tcBorders>
              <w:top w:val="nil"/>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合浦经济联合社农民集体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1.2156</w:t>
            </w:r>
          </w:p>
        </w:tc>
        <w:tc>
          <w:tcPr>
            <w:tcW w:w="0" w:type="auto"/>
            <w:vMerge/>
            <w:tcBorders>
              <w:top w:val="nil"/>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nil"/>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山湖经济联合社农民集体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2.2508</w:t>
            </w:r>
          </w:p>
        </w:tc>
        <w:tc>
          <w:tcPr>
            <w:tcW w:w="0" w:type="auto"/>
            <w:vMerge/>
            <w:tcBorders>
              <w:top w:val="nil"/>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nil"/>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新丰经济联合社农民集体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0.4416</w:t>
            </w:r>
          </w:p>
        </w:tc>
        <w:tc>
          <w:tcPr>
            <w:tcW w:w="0" w:type="auto"/>
            <w:vMerge/>
            <w:tcBorders>
              <w:top w:val="nil"/>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赤岗镇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后湖经济联合社农民集体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2.8731</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25.2689</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上洞经济联合社农民集体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5.7327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双岐山经济联合社农民集体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1.6574</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仙洞经济联合社农民集体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15.0057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船埔镇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永光经济联合社农民集体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1.7799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1.7799</w:t>
            </w: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大坝镇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陂乌经济联合社农民集体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3.2759</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32.968</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国有土地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0.2889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横山经济联合社农民集体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1.5176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葫芦地经济联合社农民集体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8.3907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平林经济联合社农民集体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13.3606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上村经济联合社农民集体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6.1343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大南山街道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陂沟经济联合社农民集体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6.9356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6.9356</w:t>
            </w: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洪阳镇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和安经济联合社农民集体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1.8701</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2.9284</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马后山经济联合社农民集体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1.0583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里湖镇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国有土地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1.4812</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6.8698</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新池内村新龙围经济联合社农民集体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3.7852</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新松村新埔经济联合社农民集体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1.6034</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流沙东街道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华溪经济联合社农民集体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0.0116</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15.9312</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上塘经济联合社农民集体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15.9196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流沙南街道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国有土地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0.4485</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4.9342</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马栅经济联合社农民集体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1.6603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香员坑经济联合社农民集体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2.8254</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南径镇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国有土地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0.825</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7.212</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南径村庵脚经济联合社农民集体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6.387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练江村两东经济联合社农民集体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0.2953</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16.1747</w:t>
            </w: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练江村塗寨经济联合社农民集体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0.2919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平洋山经济联合社农民集体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0.6967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埔栅经济联合社农民集体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0.7919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桥柱新寮经济联合社农民集体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8.1689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延长埔经济联合社农民集体</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1.1188</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占陇镇洪厝寨经济联合社</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4.8112</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55185A">
            <w:pPr>
              <w:jc w:val="center"/>
              <w:rPr>
                <w:rFonts w:ascii="方正仿宋简体" w:eastAsia="方正仿宋简体" w:hint="eastAsia"/>
                <w:color w:val="000000"/>
                <w:szCs w:val="21"/>
              </w:rPr>
            </w:pPr>
          </w:p>
        </w:tc>
      </w:tr>
      <w:tr w:rsidR="0055185A" w:rsidRPr="00C267A5">
        <w:trPr>
          <w:trHeight w:val="29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总计</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129.8546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5185A" w:rsidRPr="00C267A5" w:rsidRDefault="00C267A5">
            <w:pPr>
              <w:widowControl/>
              <w:jc w:val="center"/>
              <w:textAlignment w:val="center"/>
              <w:rPr>
                <w:rFonts w:ascii="方正仿宋简体" w:eastAsia="方正仿宋简体" w:hint="eastAsia"/>
                <w:color w:val="000000"/>
                <w:szCs w:val="21"/>
              </w:rPr>
            </w:pPr>
            <w:r w:rsidRPr="00C267A5">
              <w:rPr>
                <w:rFonts w:ascii="方正仿宋简体" w:eastAsia="方正仿宋简体" w:hint="eastAsia"/>
                <w:color w:val="000000"/>
                <w:kern w:val="0"/>
                <w:szCs w:val="21"/>
                <w:lang/>
              </w:rPr>
              <w:t>129.8546</w:t>
            </w:r>
          </w:p>
        </w:tc>
      </w:tr>
    </w:tbl>
    <w:p w:rsidR="0055185A" w:rsidRPr="00C267A5" w:rsidRDefault="00C267A5">
      <w:pPr>
        <w:rPr>
          <w:rStyle w:val="fontstyle01"/>
          <w:rFonts w:ascii="方正仿宋简体" w:eastAsia="方正仿宋简体" w:hint="eastAsia"/>
          <w:sz w:val="28"/>
          <w:szCs w:val="28"/>
        </w:rPr>
      </w:pPr>
      <w:r w:rsidRPr="00C267A5">
        <w:rPr>
          <w:rStyle w:val="fontstyle01"/>
          <w:rFonts w:ascii="方正仿宋简体" w:eastAsia="方正仿宋简体" w:hint="eastAsia"/>
          <w:sz w:val="28"/>
          <w:szCs w:val="28"/>
        </w:rPr>
        <w:br w:type="page"/>
      </w:r>
    </w:p>
    <w:p w:rsidR="0055185A" w:rsidRPr="00C267A5" w:rsidRDefault="00C267A5">
      <w:pPr>
        <w:pStyle w:val="aa"/>
        <w:numPr>
          <w:ilvl w:val="0"/>
          <w:numId w:val="1"/>
        </w:numPr>
        <w:spacing w:line="360" w:lineRule="auto"/>
        <w:ind w:firstLineChars="0"/>
        <w:rPr>
          <w:rStyle w:val="fontstyle01"/>
          <w:rFonts w:ascii="方正仿宋简体" w:eastAsia="方正仿宋简体" w:hint="eastAsia"/>
          <w:b/>
          <w:bCs/>
          <w:sz w:val="36"/>
          <w:szCs w:val="36"/>
        </w:rPr>
      </w:pPr>
      <w:r w:rsidRPr="00C267A5">
        <w:rPr>
          <w:rStyle w:val="fontstyle01"/>
          <w:rFonts w:ascii="方正仿宋简体" w:eastAsia="方正仿宋简体" w:hint="eastAsia"/>
          <w:b/>
          <w:bCs/>
          <w:sz w:val="36"/>
          <w:szCs w:val="36"/>
        </w:rPr>
        <w:lastRenderedPageBreak/>
        <w:t>公示意见反馈方式</w:t>
      </w:r>
    </w:p>
    <w:p w:rsidR="0055185A" w:rsidRPr="00C267A5" w:rsidRDefault="00C267A5">
      <w:pPr>
        <w:pStyle w:val="a4"/>
        <w:spacing w:before="0" w:line="360" w:lineRule="auto"/>
        <w:ind w:left="0" w:firstLineChars="200" w:firstLine="560"/>
        <w:rPr>
          <w:rFonts w:ascii="方正仿宋简体" w:eastAsia="方正仿宋简体" w:hAnsi="Times New Roman" w:cs="Times New Roman" w:hint="eastAsia"/>
          <w:sz w:val="28"/>
          <w:szCs w:val="28"/>
          <w:lang w:eastAsia="zh-CN"/>
        </w:rPr>
      </w:pPr>
      <w:r w:rsidRPr="00C267A5">
        <w:rPr>
          <w:rStyle w:val="fontstyle01"/>
          <w:rFonts w:ascii="方正仿宋简体" w:eastAsia="方正仿宋简体" w:hAnsi="Times New Roman" w:hint="eastAsia"/>
          <w:kern w:val="2"/>
          <w:sz w:val="28"/>
          <w:szCs w:val="28"/>
          <w:lang w:eastAsia="zh-CN"/>
        </w:rPr>
        <w:t>以书面意见及电话咨询等方式（联系地址:普宁市县自然资源局，联系电话:2935225）。</w:t>
      </w:r>
    </w:p>
    <w:sectPr w:rsidR="0055185A" w:rsidRPr="00C267A5" w:rsidSect="0055185A">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6B73" w:rsidRDefault="009D6B73" w:rsidP="0055185A">
      <w:r>
        <w:separator/>
      </w:r>
    </w:p>
  </w:endnote>
  <w:endnote w:type="continuationSeparator" w:id="1">
    <w:p w:rsidR="009D6B73" w:rsidRDefault="009D6B73" w:rsidP="005518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7A5" w:rsidRDefault="00C267A5">
    <w:pPr>
      <w:pStyle w:val="a5"/>
    </w:pPr>
    <w:r>
      <w:pict>
        <v:shapetype id="_x0000_t202" coordsize="21600,21600" o:spt="202" path="m,l,21600r21600,l21600,xe">
          <v:stroke joinstyle="miter"/>
          <v:path gradientshapeok="t" o:connecttype="rect"/>
        </v:shapetype>
        <v:shape id="Text Box 1" o:spid="_x0000_s1026" type="#_x0000_t202" style="position:absolute;margin-left:0;margin-top:0;width:4.55pt;height:10.35pt;z-index:251659264;mso-wrap-style:none;mso-position-horizontal:center;mso-position-horizontal-relative:margin"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L3UTQAAAAAgEAAA8AAAAAAAAAAQAgAAAAIgAAAGRycy9kb3ducmV2LnhtbFBLAQIUABQA&#10;AAAIAIdO4kCR96Ut+AEAAAAEAAAOAAAAAAAAAAEAIAAAAB8BAABkcnMvZTJvRG9jLnhtbFBLBQYA&#10;AAAABgAGAFkBAACJBQAAAAA=&#10;" filled="f" stroked="f">
          <v:textbox style="mso-fit-shape-to-text:t" inset="0,0,0,0">
            <w:txbxContent>
              <w:p w:rsidR="00C267A5" w:rsidRDefault="00C267A5">
                <w:pPr>
                  <w:pStyle w:val="a5"/>
                </w:pPr>
                <w:fldSimple w:instr=" PAGE  \* MERGEFORMAT ">
                  <w:r w:rsidR="001B45D9">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6B73" w:rsidRDefault="009D6B73" w:rsidP="0055185A">
      <w:r>
        <w:separator/>
      </w:r>
    </w:p>
  </w:footnote>
  <w:footnote w:type="continuationSeparator" w:id="1">
    <w:p w:rsidR="009D6B73" w:rsidRDefault="009D6B73" w:rsidP="0055185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D3E10"/>
    <w:multiLevelType w:val="multilevel"/>
    <w:tmpl w:val="0EFD3E10"/>
    <w:lvl w:ilvl="0">
      <w:start w:val="1"/>
      <w:numFmt w:val="japaneseCounting"/>
      <w:lvlText w:val="%1、"/>
      <w:lvlJc w:val="left"/>
      <w:pPr>
        <w:ind w:left="810" w:hanging="81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I2ZGQ3NTMwOTljMjc3YjZhNGE0MTAzMTc1YTQ0OGQifQ=="/>
  </w:docVars>
  <w:rsids>
    <w:rsidRoot w:val="09665ECD"/>
    <w:rsid w:val="00023948"/>
    <w:rsid w:val="00023A5C"/>
    <w:rsid w:val="00046E62"/>
    <w:rsid w:val="00073A8C"/>
    <w:rsid w:val="000804A6"/>
    <w:rsid w:val="000915AE"/>
    <w:rsid w:val="000A702D"/>
    <w:rsid w:val="000E01AB"/>
    <w:rsid w:val="000E7DBF"/>
    <w:rsid w:val="0010067D"/>
    <w:rsid w:val="0010199F"/>
    <w:rsid w:val="00111D77"/>
    <w:rsid w:val="0011227D"/>
    <w:rsid w:val="00116032"/>
    <w:rsid w:val="00121ED5"/>
    <w:rsid w:val="0013568B"/>
    <w:rsid w:val="00137A11"/>
    <w:rsid w:val="0014093D"/>
    <w:rsid w:val="001466E4"/>
    <w:rsid w:val="00147CB5"/>
    <w:rsid w:val="001514B1"/>
    <w:rsid w:val="0017675F"/>
    <w:rsid w:val="00177BC5"/>
    <w:rsid w:val="00187D35"/>
    <w:rsid w:val="001933D0"/>
    <w:rsid w:val="001B45D9"/>
    <w:rsid w:val="001E3C9F"/>
    <w:rsid w:val="001E4673"/>
    <w:rsid w:val="001E5539"/>
    <w:rsid w:val="001E73D1"/>
    <w:rsid w:val="001F000B"/>
    <w:rsid w:val="001F231F"/>
    <w:rsid w:val="002011CB"/>
    <w:rsid w:val="0020434B"/>
    <w:rsid w:val="002156F1"/>
    <w:rsid w:val="00216859"/>
    <w:rsid w:val="00243E8E"/>
    <w:rsid w:val="00245320"/>
    <w:rsid w:val="00251174"/>
    <w:rsid w:val="00253921"/>
    <w:rsid w:val="00276F55"/>
    <w:rsid w:val="00297280"/>
    <w:rsid w:val="002D70BB"/>
    <w:rsid w:val="002E16C8"/>
    <w:rsid w:val="002F6FCC"/>
    <w:rsid w:val="0031472E"/>
    <w:rsid w:val="00330884"/>
    <w:rsid w:val="0033178F"/>
    <w:rsid w:val="00342916"/>
    <w:rsid w:val="00367A6A"/>
    <w:rsid w:val="0037185B"/>
    <w:rsid w:val="0037381E"/>
    <w:rsid w:val="003742FC"/>
    <w:rsid w:val="003918C9"/>
    <w:rsid w:val="003A08E5"/>
    <w:rsid w:val="003A3C18"/>
    <w:rsid w:val="003A442F"/>
    <w:rsid w:val="003A72D2"/>
    <w:rsid w:val="003C215C"/>
    <w:rsid w:val="003C2E50"/>
    <w:rsid w:val="003D3826"/>
    <w:rsid w:val="003D6126"/>
    <w:rsid w:val="003E252D"/>
    <w:rsid w:val="003E3C7F"/>
    <w:rsid w:val="003F5680"/>
    <w:rsid w:val="00415C81"/>
    <w:rsid w:val="00445371"/>
    <w:rsid w:val="004505B3"/>
    <w:rsid w:val="00466929"/>
    <w:rsid w:val="00467FB7"/>
    <w:rsid w:val="00476B2A"/>
    <w:rsid w:val="00483504"/>
    <w:rsid w:val="004942D7"/>
    <w:rsid w:val="004979B3"/>
    <w:rsid w:val="00497E9C"/>
    <w:rsid w:val="004A099D"/>
    <w:rsid w:val="004B04E4"/>
    <w:rsid w:val="004D06B2"/>
    <w:rsid w:val="004D2952"/>
    <w:rsid w:val="004D2A0E"/>
    <w:rsid w:val="004D2DBC"/>
    <w:rsid w:val="004E435C"/>
    <w:rsid w:val="00500023"/>
    <w:rsid w:val="00516BFF"/>
    <w:rsid w:val="00524AA3"/>
    <w:rsid w:val="005269D1"/>
    <w:rsid w:val="00535AC0"/>
    <w:rsid w:val="005365C3"/>
    <w:rsid w:val="0054194B"/>
    <w:rsid w:val="00546F5B"/>
    <w:rsid w:val="00547FC5"/>
    <w:rsid w:val="0055185A"/>
    <w:rsid w:val="00563AB2"/>
    <w:rsid w:val="00563FDD"/>
    <w:rsid w:val="00565873"/>
    <w:rsid w:val="005874F9"/>
    <w:rsid w:val="005F4B2B"/>
    <w:rsid w:val="005F5D7D"/>
    <w:rsid w:val="00605C82"/>
    <w:rsid w:val="00614AA7"/>
    <w:rsid w:val="00615562"/>
    <w:rsid w:val="0067054C"/>
    <w:rsid w:val="006757AD"/>
    <w:rsid w:val="00680074"/>
    <w:rsid w:val="00683776"/>
    <w:rsid w:val="006C0A5F"/>
    <w:rsid w:val="006C161C"/>
    <w:rsid w:val="006D1816"/>
    <w:rsid w:val="006D2EE5"/>
    <w:rsid w:val="006E0081"/>
    <w:rsid w:val="006E38F7"/>
    <w:rsid w:val="006F11C8"/>
    <w:rsid w:val="006F31DE"/>
    <w:rsid w:val="00705B54"/>
    <w:rsid w:val="00723D1F"/>
    <w:rsid w:val="00727C95"/>
    <w:rsid w:val="00740D8D"/>
    <w:rsid w:val="00751D5A"/>
    <w:rsid w:val="00760039"/>
    <w:rsid w:val="00771C42"/>
    <w:rsid w:val="007810DE"/>
    <w:rsid w:val="007829ED"/>
    <w:rsid w:val="007A2316"/>
    <w:rsid w:val="007B0179"/>
    <w:rsid w:val="007B561C"/>
    <w:rsid w:val="007D2130"/>
    <w:rsid w:val="007D56A6"/>
    <w:rsid w:val="007F5585"/>
    <w:rsid w:val="00801FA5"/>
    <w:rsid w:val="00817470"/>
    <w:rsid w:val="00823593"/>
    <w:rsid w:val="00852EC2"/>
    <w:rsid w:val="00855438"/>
    <w:rsid w:val="00872E23"/>
    <w:rsid w:val="00890F26"/>
    <w:rsid w:val="00893451"/>
    <w:rsid w:val="008D1577"/>
    <w:rsid w:val="008D5E3F"/>
    <w:rsid w:val="00912BFF"/>
    <w:rsid w:val="0092395D"/>
    <w:rsid w:val="00930D1B"/>
    <w:rsid w:val="009545C5"/>
    <w:rsid w:val="00955F93"/>
    <w:rsid w:val="009750AD"/>
    <w:rsid w:val="00987640"/>
    <w:rsid w:val="009B0791"/>
    <w:rsid w:val="009C4D9D"/>
    <w:rsid w:val="009C737E"/>
    <w:rsid w:val="009D0E89"/>
    <w:rsid w:val="009D3CC2"/>
    <w:rsid w:val="009D6B73"/>
    <w:rsid w:val="009E48A4"/>
    <w:rsid w:val="009F138B"/>
    <w:rsid w:val="009F1588"/>
    <w:rsid w:val="009F4FC6"/>
    <w:rsid w:val="00A13AE9"/>
    <w:rsid w:val="00A31159"/>
    <w:rsid w:val="00A369AB"/>
    <w:rsid w:val="00A37900"/>
    <w:rsid w:val="00A43F31"/>
    <w:rsid w:val="00A43FF8"/>
    <w:rsid w:val="00A56F12"/>
    <w:rsid w:val="00A57FC0"/>
    <w:rsid w:val="00A66BF8"/>
    <w:rsid w:val="00A7205A"/>
    <w:rsid w:val="00A8328A"/>
    <w:rsid w:val="00A92F2B"/>
    <w:rsid w:val="00AA3E96"/>
    <w:rsid w:val="00AA67C4"/>
    <w:rsid w:val="00AB234C"/>
    <w:rsid w:val="00AD0508"/>
    <w:rsid w:val="00AD6A22"/>
    <w:rsid w:val="00B14B9A"/>
    <w:rsid w:val="00B37FC3"/>
    <w:rsid w:val="00B40673"/>
    <w:rsid w:val="00B616DD"/>
    <w:rsid w:val="00B66291"/>
    <w:rsid w:val="00B67998"/>
    <w:rsid w:val="00B742D1"/>
    <w:rsid w:val="00B77875"/>
    <w:rsid w:val="00B94E39"/>
    <w:rsid w:val="00BA1B4D"/>
    <w:rsid w:val="00BA39C2"/>
    <w:rsid w:val="00BB17B8"/>
    <w:rsid w:val="00BB5F19"/>
    <w:rsid w:val="00BC099C"/>
    <w:rsid w:val="00BC1DBC"/>
    <w:rsid w:val="00BC3484"/>
    <w:rsid w:val="00BC3801"/>
    <w:rsid w:val="00BC6722"/>
    <w:rsid w:val="00BE3E3F"/>
    <w:rsid w:val="00C033D5"/>
    <w:rsid w:val="00C039C2"/>
    <w:rsid w:val="00C13F74"/>
    <w:rsid w:val="00C23898"/>
    <w:rsid w:val="00C24F23"/>
    <w:rsid w:val="00C267A5"/>
    <w:rsid w:val="00C306D7"/>
    <w:rsid w:val="00C31DAC"/>
    <w:rsid w:val="00C349C0"/>
    <w:rsid w:val="00C37A61"/>
    <w:rsid w:val="00C46CEB"/>
    <w:rsid w:val="00C60E73"/>
    <w:rsid w:val="00C70453"/>
    <w:rsid w:val="00C74149"/>
    <w:rsid w:val="00C77C6F"/>
    <w:rsid w:val="00C831EA"/>
    <w:rsid w:val="00C92F66"/>
    <w:rsid w:val="00C938BC"/>
    <w:rsid w:val="00C95155"/>
    <w:rsid w:val="00CA6904"/>
    <w:rsid w:val="00CB1BF0"/>
    <w:rsid w:val="00CC559B"/>
    <w:rsid w:val="00CE1E0C"/>
    <w:rsid w:val="00CF439B"/>
    <w:rsid w:val="00D2347B"/>
    <w:rsid w:val="00D26F3D"/>
    <w:rsid w:val="00D339FA"/>
    <w:rsid w:val="00D42647"/>
    <w:rsid w:val="00D72220"/>
    <w:rsid w:val="00D90A4E"/>
    <w:rsid w:val="00D919E0"/>
    <w:rsid w:val="00DA6818"/>
    <w:rsid w:val="00DB264A"/>
    <w:rsid w:val="00DE7C98"/>
    <w:rsid w:val="00E011D0"/>
    <w:rsid w:val="00E058B0"/>
    <w:rsid w:val="00E22721"/>
    <w:rsid w:val="00E51B5B"/>
    <w:rsid w:val="00E67C35"/>
    <w:rsid w:val="00E95ABF"/>
    <w:rsid w:val="00E97B6F"/>
    <w:rsid w:val="00EA5A56"/>
    <w:rsid w:val="00EB24A5"/>
    <w:rsid w:val="00EC6B1C"/>
    <w:rsid w:val="00EE103F"/>
    <w:rsid w:val="00EE3FEC"/>
    <w:rsid w:val="00EF2890"/>
    <w:rsid w:val="00EF5ACA"/>
    <w:rsid w:val="00F04EB2"/>
    <w:rsid w:val="00F14D8F"/>
    <w:rsid w:val="00F17DC2"/>
    <w:rsid w:val="00F17E2C"/>
    <w:rsid w:val="00F275F8"/>
    <w:rsid w:val="00F31F44"/>
    <w:rsid w:val="00F33D7A"/>
    <w:rsid w:val="00F359BB"/>
    <w:rsid w:val="00F41CD4"/>
    <w:rsid w:val="00F94FFE"/>
    <w:rsid w:val="00FA57AF"/>
    <w:rsid w:val="00FB2DF1"/>
    <w:rsid w:val="00FB4501"/>
    <w:rsid w:val="00FC07B2"/>
    <w:rsid w:val="04FC1348"/>
    <w:rsid w:val="050531F4"/>
    <w:rsid w:val="094908CB"/>
    <w:rsid w:val="09665ECD"/>
    <w:rsid w:val="0AF142C5"/>
    <w:rsid w:val="12640267"/>
    <w:rsid w:val="149C2DD1"/>
    <w:rsid w:val="16B0772A"/>
    <w:rsid w:val="17526060"/>
    <w:rsid w:val="196106D9"/>
    <w:rsid w:val="199B021E"/>
    <w:rsid w:val="1BD3562F"/>
    <w:rsid w:val="1C6C40F3"/>
    <w:rsid w:val="1D2D3883"/>
    <w:rsid w:val="20207748"/>
    <w:rsid w:val="202A755A"/>
    <w:rsid w:val="222F59A7"/>
    <w:rsid w:val="276428EB"/>
    <w:rsid w:val="2E015345"/>
    <w:rsid w:val="2F6534D3"/>
    <w:rsid w:val="2F795F70"/>
    <w:rsid w:val="2FDB003E"/>
    <w:rsid w:val="2FEA5603"/>
    <w:rsid w:val="30FA5544"/>
    <w:rsid w:val="35DB7CE8"/>
    <w:rsid w:val="3938118D"/>
    <w:rsid w:val="3D154CDA"/>
    <w:rsid w:val="3DC03305"/>
    <w:rsid w:val="3DFB09DB"/>
    <w:rsid w:val="3FDA4A0A"/>
    <w:rsid w:val="45291DB1"/>
    <w:rsid w:val="45336DDE"/>
    <w:rsid w:val="4812529F"/>
    <w:rsid w:val="48352910"/>
    <w:rsid w:val="49792EC0"/>
    <w:rsid w:val="4A6B3ED9"/>
    <w:rsid w:val="4C1F1B62"/>
    <w:rsid w:val="4C5E135D"/>
    <w:rsid w:val="4C996923"/>
    <w:rsid w:val="4E086182"/>
    <w:rsid w:val="4EC15329"/>
    <w:rsid w:val="4F081120"/>
    <w:rsid w:val="53C50051"/>
    <w:rsid w:val="541C372E"/>
    <w:rsid w:val="56561C33"/>
    <w:rsid w:val="569B7E51"/>
    <w:rsid w:val="56DC57FE"/>
    <w:rsid w:val="56EB5639"/>
    <w:rsid w:val="5A0022E4"/>
    <w:rsid w:val="5AD7215D"/>
    <w:rsid w:val="5C9C0037"/>
    <w:rsid w:val="5DC34C1A"/>
    <w:rsid w:val="5E8215CF"/>
    <w:rsid w:val="5EF67235"/>
    <w:rsid w:val="60BF3DBF"/>
    <w:rsid w:val="626D15F8"/>
    <w:rsid w:val="62BB0229"/>
    <w:rsid w:val="656A11A8"/>
    <w:rsid w:val="66B007D5"/>
    <w:rsid w:val="67AC331C"/>
    <w:rsid w:val="6AED32D6"/>
    <w:rsid w:val="6AF063AB"/>
    <w:rsid w:val="6E891568"/>
    <w:rsid w:val="6EBB0130"/>
    <w:rsid w:val="71C6688A"/>
    <w:rsid w:val="78FF0055"/>
    <w:rsid w:val="7CE03B4A"/>
    <w:rsid w:val="7E7F5860"/>
    <w:rsid w:val="7E8F758A"/>
    <w:rsid w:val="7F983D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semiHidden="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annotation subject" w:qFormat="1"/>
    <w:lsdException w:name="Table Subtle 1" w:semiHidden="0" w:unhideWhenUsed="0"/>
    <w:lsdException w:name="Table Web 2" w:semiHidden="0" w:unhideWhenUsed="0"/>
    <w:lsdException w:name="Table Web 3" w:semiHidden="0" w:unhideWhenUsed="0"/>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55185A"/>
    <w:pPr>
      <w:widowControl w:val="0"/>
      <w:jc w:val="both"/>
    </w:pPr>
    <w:rPr>
      <w:kern w:val="2"/>
      <w:sz w:val="21"/>
      <w:szCs w:val="24"/>
    </w:rPr>
  </w:style>
  <w:style w:type="paragraph" w:styleId="1">
    <w:name w:val="heading 1"/>
    <w:basedOn w:val="a"/>
    <w:next w:val="a"/>
    <w:link w:val="1Char"/>
    <w:uiPriority w:val="99"/>
    <w:qFormat/>
    <w:rsid w:val="0055185A"/>
    <w:pPr>
      <w:keepNext/>
      <w:keepLines/>
      <w:spacing w:before="340" w:after="330" w:line="578" w:lineRule="auto"/>
      <w:outlineLvl w:val="0"/>
    </w:pPr>
    <w:rPr>
      <w:b/>
      <w:bCs/>
      <w:kern w:val="44"/>
      <w:sz w:val="44"/>
      <w:szCs w:val="44"/>
    </w:rPr>
  </w:style>
  <w:style w:type="paragraph" w:styleId="2">
    <w:name w:val="heading 2"/>
    <w:basedOn w:val="a"/>
    <w:next w:val="a"/>
    <w:qFormat/>
    <w:locked/>
    <w:rsid w:val="0055185A"/>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55185A"/>
    <w:pPr>
      <w:jc w:val="left"/>
    </w:pPr>
  </w:style>
  <w:style w:type="paragraph" w:styleId="a4">
    <w:name w:val="Body Text"/>
    <w:basedOn w:val="a"/>
    <w:link w:val="Char0"/>
    <w:uiPriority w:val="99"/>
    <w:qFormat/>
    <w:rsid w:val="0055185A"/>
    <w:pPr>
      <w:autoSpaceDE w:val="0"/>
      <w:autoSpaceDN w:val="0"/>
      <w:spacing w:before="205"/>
      <w:ind w:left="100"/>
      <w:jc w:val="left"/>
    </w:pPr>
    <w:rPr>
      <w:rFonts w:ascii="宋体" w:hAnsi="宋体" w:cs="宋体"/>
      <w:kern w:val="0"/>
      <w:sz w:val="32"/>
      <w:szCs w:val="32"/>
      <w:lang w:eastAsia="en-US"/>
    </w:rPr>
  </w:style>
  <w:style w:type="paragraph" w:styleId="a5">
    <w:name w:val="footer"/>
    <w:basedOn w:val="a"/>
    <w:link w:val="Char1"/>
    <w:uiPriority w:val="99"/>
    <w:qFormat/>
    <w:rsid w:val="0055185A"/>
    <w:pPr>
      <w:tabs>
        <w:tab w:val="center" w:pos="4153"/>
        <w:tab w:val="right" w:pos="8306"/>
      </w:tabs>
      <w:snapToGrid w:val="0"/>
      <w:jc w:val="left"/>
    </w:pPr>
    <w:rPr>
      <w:sz w:val="18"/>
    </w:rPr>
  </w:style>
  <w:style w:type="paragraph" w:styleId="a6">
    <w:name w:val="header"/>
    <w:basedOn w:val="a"/>
    <w:link w:val="Char2"/>
    <w:uiPriority w:val="99"/>
    <w:qFormat/>
    <w:rsid w:val="0055185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annotation subject"/>
    <w:basedOn w:val="a3"/>
    <w:next w:val="a3"/>
    <w:link w:val="Char3"/>
    <w:uiPriority w:val="99"/>
    <w:semiHidden/>
    <w:unhideWhenUsed/>
    <w:qFormat/>
    <w:rsid w:val="0055185A"/>
    <w:rPr>
      <w:b/>
      <w:bCs/>
    </w:rPr>
  </w:style>
  <w:style w:type="table" w:styleId="a8">
    <w:name w:val="Table Grid"/>
    <w:basedOn w:val="a1"/>
    <w:uiPriority w:val="39"/>
    <w:qFormat/>
    <w:rsid w:val="0055185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qFormat/>
    <w:rsid w:val="0055185A"/>
    <w:rPr>
      <w:sz w:val="21"/>
      <w:szCs w:val="21"/>
    </w:rPr>
  </w:style>
  <w:style w:type="character" w:customStyle="1" w:styleId="1Char">
    <w:name w:val="标题 1 Char"/>
    <w:link w:val="1"/>
    <w:uiPriority w:val="9"/>
    <w:qFormat/>
    <w:rsid w:val="0055185A"/>
    <w:rPr>
      <w:b/>
      <w:bCs/>
      <w:kern w:val="44"/>
      <w:sz w:val="44"/>
      <w:szCs w:val="44"/>
    </w:rPr>
  </w:style>
  <w:style w:type="character" w:customStyle="1" w:styleId="Char0">
    <w:name w:val="正文文本 Char"/>
    <w:link w:val="a4"/>
    <w:uiPriority w:val="99"/>
    <w:semiHidden/>
    <w:qFormat/>
    <w:rsid w:val="0055185A"/>
    <w:rPr>
      <w:szCs w:val="24"/>
    </w:rPr>
  </w:style>
  <w:style w:type="character" w:customStyle="1" w:styleId="Char1">
    <w:name w:val="页脚 Char"/>
    <w:link w:val="a5"/>
    <w:uiPriority w:val="99"/>
    <w:semiHidden/>
    <w:qFormat/>
    <w:rsid w:val="0055185A"/>
    <w:rPr>
      <w:sz w:val="18"/>
      <w:szCs w:val="18"/>
    </w:rPr>
  </w:style>
  <w:style w:type="character" w:customStyle="1" w:styleId="Char2">
    <w:name w:val="页眉 Char"/>
    <w:link w:val="a6"/>
    <w:uiPriority w:val="99"/>
    <w:semiHidden/>
    <w:qFormat/>
    <w:rsid w:val="0055185A"/>
    <w:rPr>
      <w:sz w:val="18"/>
      <w:szCs w:val="18"/>
    </w:rPr>
  </w:style>
  <w:style w:type="paragraph" w:styleId="aa">
    <w:name w:val="List Paragraph"/>
    <w:basedOn w:val="a"/>
    <w:uiPriority w:val="34"/>
    <w:qFormat/>
    <w:rsid w:val="0055185A"/>
    <w:pPr>
      <w:ind w:firstLineChars="200" w:firstLine="420"/>
    </w:pPr>
  </w:style>
  <w:style w:type="character" w:customStyle="1" w:styleId="fontstyle01">
    <w:name w:val="fontstyle01"/>
    <w:uiPriority w:val="99"/>
    <w:qFormat/>
    <w:rsid w:val="0055185A"/>
    <w:rPr>
      <w:rFonts w:ascii="仿宋_GB2312" w:eastAsia="仿宋_GB2312" w:cs="Times New Roman"/>
      <w:color w:val="000000"/>
      <w:sz w:val="32"/>
      <w:szCs w:val="32"/>
    </w:rPr>
  </w:style>
  <w:style w:type="character" w:customStyle="1" w:styleId="fontstyle21">
    <w:name w:val="fontstyle21"/>
    <w:uiPriority w:val="99"/>
    <w:qFormat/>
    <w:rsid w:val="0055185A"/>
    <w:rPr>
      <w:rFonts w:ascii="TimesNewRomanPSMT" w:hAnsi="TimesNewRomanPSMT" w:cs="Times New Roman"/>
      <w:color w:val="000000"/>
      <w:sz w:val="32"/>
      <w:szCs w:val="32"/>
    </w:rPr>
  </w:style>
  <w:style w:type="table" w:customStyle="1" w:styleId="10">
    <w:name w:val="网格型1"/>
    <w:basedOn w:val="a1"/>
    <w:uiPriority w:val="39"/>
    <w:qFormat/>
    <w:rsid w:val="0055185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网格型2"/>
    <w:basedOn w:val="a1"/>
    <w:uiPriority w:val="39"/>
    <w:qFormat/>
    <w:rsid w:val="0055185A"/>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basedOn w:val="a0"/>
    <w:link w:val="a3"/>
    <w:uiPriority w:val="99"/>
    <w:semiHidden/>
    <w:qFormat/>
    <w:rsid w:val="0055185A"/>
    <w:rPr>
      <w:kern w:val="2"/>
      <w:sz w:val="21"/>
      <w:szCs w:val="24"/>
    </w:rPr>
  </w:style>
  <w:style w:type="character" w:customStyle="1" w:styleId="Char3">
    <w:name w:val="批注主题 Char"/>
    <w:basedOn w:val="Char"/>
    <w:link w:val="a7"/>
    <w:uiPriority w:val="99"/>
    <w:semiHidden/>
    <w:qFormat/>
    <w:rsid w:val="0055185A"/>
    <w:rPr>
      <w:b/>
      <w:bCs/>
      <w:kern w:val="2"/>
      <w:sz w:val="21"/>
      <w:szCs w:val="24"/>
    </w:rPr>
  </w:style>
  <w:style w:type="paragraph" w:customStyle="1" w:styleId="11">
    <w:name w:val="修订1"/>
    <w:hidden/>
    <w:uiPriority w:val="99"/>
    <w:semiHidden/>
    <w:qFormat/>
    <w:rsid w:val="0055185A"/>
    <w:rPr>
      <w:kern w:val="2"/>
      <w:sz w:val="21"/>
      <w:szCs w:val="24"/>
    </w:rPr>
  </w:style>
  <w:style w:type="character" w:customStyle="1" w:styleId="font31">
    <w:name w:val="font31"/>
    <w:basedOn w:val="a0"/>
    <w:qFormat/>
    <w:rsid w:val="0055185A"/>
    <w:rPr>
      <w:rFonts w:ascii="仿宋_GB2312" w:eastAsia="仿宋_GB2312" w:cs="仿宋_GB2312" w:hint="eastAsia"/>
      <w:color w:val="000000"/>
      <w:sz w:val="22"/>
      <w:szCs w:val="22"/>
      <w:u w:val="none"/>
    </w:rPr>
  </w:style>
  <w:style w:type="character" w:customStyle="1" w:styleId="font41">
    <w:name w:val="font41"/>
    <w:basedOn w:val="a0"/>
    <w:qFormat/>
    <w:rsid w:val="0055185A"/>
    <w:rPr>
      <w:rFonts w:ascii="Times New Roman" w:hAnsi="Times New Roman" w:cs="Times New Roman" w:hint="default"/>
      <w:color w:val="000000"/>
      <w:sz w:val="22"/>
      <w:szCs w:val="22"/>
      <w:u w:val="none"/>
    </w:rPr>
  </w:style>
  <w:style w:type="character" w:customStyle="1" w:styleId="font51">
    <w:name w:val="font51"/>
    <w:basedOn w:val="a0"/>
    <w:qFormat/>
    <w:rsid w:val="0055185A"/>
    <w:rPr>
      <w:rFonts w:ascii="仿宋_GB2312" w:eastAsia="仿宋_GB2312" w:cs="仿宋_GB2312" w:hint="eastAsia"/>
      <w:color w:val="000000"/>
      <w:sz w:val="21"/>
      <w:szCs w:val="21"/>
      <w:u w:val="none"/>
    </w:rPr>
  </w:style>
  <w:style w:type="character" w:customStyle="1" w:styleId="font21">
    <w:name w:val="font21"/>
    <w:basedOn w:val="a0"/>
    <w:qFormat/>
    <w:rsid w:val="0055185A"/>
    <w:rPr>
      <w:rFonts w:ascii="Times New Roman" w:hAnsi="Times New Roman" w:cs="Times New Roman" w:hint="default"/>
      <w:color w:val="000000"/>
      <w:sz w:val="22"/>
      <w:szCs w:val="22"/>
      <w:u w:val="none"/>
    </w:rPr>
  </w:style>
  <w:style w:type="character" w:customStyle="1" w:styleId="font01">
    <w:name w:val="font01"/>
    <w:basedOn w:val="a0"/>
    <w:qFormat/>
    <w:rsid w:val="0055185A"/>
    <w:rPr>
      <w:rFonts w:ascii="宋体" w:eastAsia="宋体" w:hAnsi="宋体" w:cs="宋体" w:hint="eastAsia"/>
      <w:color w:val="000000"/>
      <w:sz w:val="22"/>
      <w:szCs w:val="22"/>
      <w:u w:val="none"/>
    </w:rPr>
  </w:style>
  <w:style w:type="character" w:customStyle="1" w:styleId="font11">
    <w:name w:val="font11"/>
    <w:basedOn w:val="a0"/>
    <w:rsid w:val="0055185A"/>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D2D5274F-298A-4C7F-8DA2-A30CBAAFA4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1374</Words>
  <Characters>7836</Characters>
  <Application>Microsoft Office Word</Application>
  <DocSecurity>0</DocSecurity>
  <Lines>65</Lines>
  <Paragraphs>18</Paragraphs>
  <ScaleCrop>false</ScaleCrop>
  <Company>Microsoft</Company>
  <LinksUpToDate>false</LinksUpToDate>
  <CharactersWithSpaces>9192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茂名市电白区水东片区土地征收成片开发方案（公示草案）</dc:title>
  <dc:creator>living</dc:creator>
  <cp:lastModifiedBy>Admin</cp:lastModifiedBy>
  <cp:revision>12</cp:revision>
  <cp:lastPrinted>2022-10-26T02:38:00Z</cp:lastPrinted>
  <dcterms:created xsi:type="dcterms:W3CDTF">2022-04-10T13:46:00Z</dcterms:created>
  <dcterms:modified xsi:type="dcterms:W3CDTF">2022-10-26T03:47:00Z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FC08F83E687147A49942B5F4484C9AA3</vt:lpwstr>
  </property>
</Properties>
</file>